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60" w:lineRule="exact"/>
        <w:rPr>
          <w:rFonts w:hint="eastAsia" w:ascii="华文中宋" w:eastAsia="黑体" w:cs="宋体"/>
          <w:b w:val="0"/>
          <w:color w:val="000000"/>
          <w:kern w:val="0"/>
          <w:sz w:val="32"/>
          <w:szCs w:val="32"/>
          <w:lang w:val="en-US" w:eastAsia="zh-CN"/>
        </w:rPr>
      </w:pPr>
      <w:bookmarkStart w:id="0" w:name="_GoBack"/>
      <w:bookmarkEnd w:id="0"/>
      <w:r>
        <w:rPr>
          <w:rFonts w:ascii="黑体" w:hAnsi="黑体" w:eastAsia="黑体" w:cs="黑体"/>
          <w:b w:val="0"/>
          <w:color w:val="000000"/>
          <w:kern w:val="0"/>
          <w:sz w:val="32"/>
          <w:szCs w:val="32"/>
        </w:rPr>
        <w:t>附件</w:t>
      </w:r>
      <w:r>
        <w:rPr>
          <w:rFonts w:hint="eastAsia" w:ascii="黑体" w:hAnsi="黑体" w:eastAsia="黑体" w:cs="黑体"/>
          <w:b w:val="0"/>
          <w:color w:val="000000"/>
          <w:kern w:val="0"/>
          <w:sz w:val="32"/>
          <w:szCs w:val="32"/>
          <w:lang w:val="en-US" w:eastAsia="zh-CN"/>
        </w:rPr>
        <w:t>5</w:t>
      </w:r>
    </w:p>
    <w:p>
      <w:pPr>
        <w:pStyle w:val="2"/>
        <w:snapToGrid w:val="0"/>
        <w:spacing w:beforeLines="200" w:beforeAutospacing="0" w:afterLines="100" w:afterAutospacing="0" w:line="560" w:lineRule="exact"/>
        <w:jc w:val="center"/>
        <w:rPr>
          <w:rFonts w:hint="eastAsia" w:ascii="方正小标宋简体" w:hAnsi="华文中宋" w:eastAsia="方正小标宋简体" w:cs="黑体"/>
          <w:bCs/>
          <w:sz w:val="44"/>
          <w:szCs w:val="44"/>
          <w:lang w:eastAsia="zh-CN"/>
        </w:rPr>
      </w:pPr>
      <w:r>
        <w:rPr>
          <w:rFonts w:ascii="方正小标宋简体" w:hAnsi="华文中宋" w:eastAsia="方正小标宋简体" w:cs="黑体"/>
          <w:bCs/>
          <w:sz w:val="44"/>
          <w:szCs w:val="44"/>
        </w:rPr>
        <w:t>202</w:t>
      </w:r>
      <w:r>
        <w:rPr>
          <w:rFonts w:hint="eastAsia" w:ascii="方正小标宋简体" w:hAnsi="华文中宋" w:eastAsia="方正小标宋简体" w:cs="黑体"/>
          <w:bCs/>
          <w:sz w:val="44"/>
          <w:szCs w:val="44"/>
          <w:lang w:val="en-US" w:eastAsia="zh-CN"/>
        </w:rPr>
        <w:t>2</w:t>
      </w:r>
      <w:r>
        <w:rPr>
          <w:rFonts w:ascii="方正小标宋简体" w:hAnsi="华文中宋" w:eastAsia="方正小标宋简体" w:cs="黑体"/>
          <w:bCs/>
          <w:sz w:val="44"/>
          <w:szCs w:val="44"/>
        </w:rPr>
        <w:t>年度知识产权重大专项资助申请指南</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申报内容</w:t>
      </w:r>
    </w:p>
    <w:p>
      <w:pPr>
        <w:numPr>
          <w:ilvl w:val="255"/>
          <w:numId w:val="0"/>
        </w:numPr>
        <w:snapToGrid w:val="0"/>
        <w:spacing w:line="560" w:lineRule="exact"/>
        <w:ind w:firstLine="640" w:firstLineChars="200"/>
        <w:jc w:val="left"/>
        <w:rPr>
          <w:rFonts w:ascii="仿宋_GB2312" w:hAnsi="Times New Roman" w:eastAsia="仿宋_GB2312"/>
          <w:b/>
          <w:sz w:val="32"/>
          <w:szCs w:val="32"/>
        </w:rPr>
      </w:pPr>
      <w:r>
        <w:rPr>
          <w:rFonts w:hint="eastAsia" w:ascii="仿宋_GB2312" w:hAnsi="华文中宋" w:eastAsia="仿宋_GB2312" w:cs="黑体"/>
          <w:bCs/>
          <w:sz w:val="32"/>
          <w:szCs w:val="32"/>
        </w:rPr>
        <w:t>202</w:t>
      </w:r>
      <w:r>
        <w:rPr>
          <w:rFonts w:hint="eastAsia" w:ascii="仿宋_GB2312" w:hAnsi="华文中宋" w:eastAsia="仿宋_GB2312" w:cs="黑体"/>
          <w:bCs/>
          <w:sz w:val="32"/>
          <w:szCs w:val="32"/>
          <w:lang w:val="en-US" w:eastAsia="zh-CN"/>
        </w:rPr>
        <w:t>2</w:t>
      </w:r>
      <w:r>
        <w:rPr>
          <w:rFonts w:hint="eastAsia" w:ascii="仿宋_GB2312" w:hAnsi="华文中宋" w:eastAsia="仿宋_GB2312" w:cs="黑体"/>
          <w:bCs/>
          <w:sz w:val="32"/>
          <w:szCs w:val="32"/>
        </w:rPr>
        <w:t>年深圳市知识产权重大专项资助。</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设定</w:t>
      </w:r>
      <w:r>
        <w:rPr>
          <w:rFonts w:hint="default" w:ascii="Times New Roman" w:hAnsi="Times New Roman" w:eastAsia="黑体"/>
          <w:b w:val="0"/>
          <w:sz w:val="32"/>
        </w:rPr>
        <w:t>依据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（一）《深圳市市场监督管理局专项资金管理办法》，深圳市市场监督管理局、深圳市财政局，深市监规〔2020〕3号；</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（二）《深圳市市场监督管理局知识产权领域专项资金操作规程》，深圳市市场监督管理局，深市监规〔2019〕10号。</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资助数量</w:t>
      </w:r>
    </w:p>
    <w:p>
      <w:pPr>
        <w:snapToGrid w:val="0"/>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由市知识产权主管部门根据国家、省、市重点工作部署，对要求重点推进的知识产权专项工作发布申请指南，每年评选不超过3个项目，每项不超过100万元。</w:t>
      </w:r>
      <w:r>
        <w:rPr>
          <w:rFonts w:hint="eastAsia" w:ascii="仿宋_GB2312" w:eastAsia="仿宋_GB2312"/>
          <w:sz w:val="32"/>
          <w:szCs w:val="32"/>
          <w:lang w:eastAsia="zh-CN"/>
        </w:rPr>
        <w:t>经研究，我局根据国家、省、市知识产权重点工作部署，拟开展</w:t>
      </w:r>
      <w:r>
        <w:rPr>
          <w:rFonts w:hint="eastAsia" w:ascii="仿宋_GB2312" w:eastAsia="仿宋_GB2312"/>
          <w:sz w:val="32"/>
          <w:szCs w:val="32"/>
          <w:lang w:val="en-US" w:eastAsia="zh-CN"/>
        </w:rPr>
        <w:t>2022年知识产权重大专项项目2项，每项资助不超过100万元。项目方向详见2022年度深圳市知识产权重大专项资助项目清单。</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hint="default" w:ascii="Times New Roman" w:hAnsi="Times New Roman" w:eastAsia="黑体"/>
          <w:b w:val="0"/>
          <w:sz w:val="32"/>
        </w:rPr>
        <w:t>申</w:t>
      </w:r>
      <w:r>
        <w:rPr>
          <w:rFonts w:ascii="Times New Roman" w:hAnsi="Times New Roman" w:eastAsia="黑体"/>
          <w:b w:val="0"/>
          <w:sz w:val="32"/>
        </w:rPr>
        <w:t>请</w:t>
      </w:r>
      <w:r>
        <w:rPr>
          <w:rFonts w:hint="default" w:ascii="Times New Roman" w:hAnsi="Times New Roman" w:eastAsia="黑体"/>
          <w:b w:val="0"/>
          <w:sz w:val="32"/>
        </w:rPr>
        <w:t>条件</w:t>
      </w:r>
    </w:p>
    <w:p>
      <w:pPr>
        <w:snapToGrid w:val="0"/>
        <w:spacing w:line="560" w:lineRule="exact"/>
        <w:ind w:firstLine="640" w:firstLineChars="200"/>
        <w:rPr>
          <w:rFonts w:ascii="仿宋_GB2312" w:eastAsia="仿宋_GB2312"/>
          <w:sz w:val="32"/>
          <w:szCs w:val="32"/>
        </w:rPr>
      </w:pPr>
      <w:r>
        <w:rPr>
          <w:rFonts w:hint="eastAsia" w:ascii="仿宋_GB2312" w:hAnsi="华文中宋" w:eastAsia="仿宋_GB2312" w:cs="黑体"/>
          <w:bCs/>
          <w:sz w:val="32"/>
          <w:szCs w:val="32"/>
        </w:rPr>
        <w:t>深圳市知识产权重大专项资助</w:t>
      </w:r>
      <w:r>
        <w:rPr>
          <w:rFonts w:hint="eastAsia" w:ascii="仿宋_GB2312" w:eastAsia="仿宋_GB2312"/>
          <w:sz w:val="32"/>
          <w:szCs w:val="32"/>
        </w:rPr>
        <w:t>申请人应同时满足以下条件：</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1.属于在深圳市行政区域内（含深汕特别合作区）依法登记注册的企事业单位或社会组织；</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2.具有国家、省、市知识产权相关重大项目的研究经验；</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3.具有从事知识产权重大专项的专业人才和团队。</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不予资助的情形</w:t>
      </w:r>
    </w:p>
    <w:p>
      <w:pPr>
        <w:snapToGrid w:val="0"/>
        <w:spacing w:line="560" w:lineRule="exact"/>
        <w:ind w:firstLine="640" w:firstLineChars="200"/>
        <w:rPr>
          <w:rFonts w:eastAsia="仿宋_GB2312"/>
          <w:b/>
          <w:sz w:val="32"/>
        </w:rPr>
      </w:pPr>
      <w:r>
        <w:rPr>
          <w:rFonts w:hint="eastAsia" w:eastAsia="仿宋_GB2312"/>
          <w:sz w:val="32"/>
        </w:rPr>
        <w:t>申请人有下列情形之一的，不予资助：</w:t>
      </w:r>
    </w:p>
    <w:p>
      <w:pPr>
        <w:snapToGrid w:val="0"/>
        <w:spacing w:line="560" w:lineRule="exact"/>
        <w:ind w:firstLine="640" w:firstLineChars="200"/>
        <w:rPr>
          <w:rFonts w:eastAsia="仿宋_GB2312"/>
          <w:b/>
          <w:sz w:val="32"/>
        </w:rPr>
      </w:pPr>
      <w:r>
        <w:rPr>
          <w:rFonts w:hint="eastAsia" w:eastAsia="仿宋_GB2312"/>
          <w:sz w:val="32"/>
        </w:rPr>
        <w:t>（一）不符合相关法律法规、专项资金管理办法、操作规程和申报指南要求的；</w:t>
      </w:r>
    </w:p>
    <w:p>
      <w:pPr>
        <w:snapToGrid w:val="0"/>
        <w:spacing w:line="560" w:lineRule="exact"/>
        <w:ind w:firstLine="640" w:firstLineChars="200"/>
        <w:rPr>
          <w:rFonts w:eastAsia="仿宋_GB2312"/>
          <w:b/>
          <w:sz w:val="32"/>
        </w:rPr>
      </w:pPr>
      <w:r>
        <w:rPr>
          <w:rFonts w:hint="eastAsia" w:eastAsia="仿宋_GB2312"/>
          <w:sz w:val="32"/>
        </w:rPr>
        <w:t>（二）被列入市财政专项资金违规、失信信息名单的；</w:t>
      </w:r>
    </w:p>
    <w:p>
      <w:pPr>
        <w:snapToGrid w:val="0"/>
        <w:spacing w:line="560" w:lineRule="exact"/>
        <w:ind w:firstLine="640" w:firstLineChars="200"/>
        <w:rPr>
          <w:rFonts w:eastAsia="仿宋_GB2312"/>
          <w:b/>
          <w:sz w:val="32"/>
        </w:rPr>
      </w:pPr>
      <w:r>
        <w:rPr>
          <w:rFonts w:hint="eastAsia" w:eastAsia="仿宋_GB2312"/>
          <w:sz w:val="32"/>
        </w:rPr>
        <w:t>（三）经查询深圳市信用网，被列入国家有关部门的《严重违法失信企业名单》；</w:t>
      </w:r>
    </w:p>
    <w:p>
      <w:pPr>
        <w:snapToGrid w:val="0"/>
        <w:spacing w:line="560" w:lineRule="exact"/>
        <w:ind w:firstLine="640" w:firstLineChars="200"/>
        <w:rPr>
          <w:rFonts w:eastAsia="仿宋_GB2312"/>
          <w:b/>
          <w:sz w:val="32"/>
        </w:rPr>
      </w:pPr>
      <w:r>
        <w:rPr>
          <w:rFonts w:hint="eastAsia" w:eastAsia="仿宋_GB2312"/>
          <w:sz w:val="32"/>
        </w:rPr>
        <w:t>（四）拒不执行生效的知识产权行政裁决或者司法裁判的，或侵犯他人知识产权构成犯罪的；</w:t>
      </w:r>
    </w:p>
    <w:p>
      <w:pPr>
        <w:snapToGrid w:val="0"/>
        <w:spacing w:line="560" w:lineRule="exact"/>
        <w:ind w:firstLine="640" w:firstLineChars="200"/>
        <w:rPr>
          <w:rFonts w:eastAsia="仿宋_GB2312"/>
          <w:b/>
          <w:sz w:val="32"/>
        </w:rPr>
      </w:pPr>
      <w:r>
        <w:rPr>
          <w:rFonts w:hint="eastAsia" w:eastAsia="仿宋_GB2312"/>
          <w:sz w:val="32"/>
        </w:rPr>
        <w:t>（五）经查询人民法院公告网，发现已进入破产清算程序的；</w:t>
      </w:r>
    </w:p>
    <w:p>
      <w:pPr>
        <w:snapToGrid w:val="0"/>
        <w:spacing w:line="560" w:lineRule="exact"/>
        <w:ind w:firstLine="640" w:firstLineChars="200"/>
        <w:rPr>
          <w:rFonts w:ascii="仿宋_GB2312" w:eastAsia="仿宋_GB2312"/>
          <w:sz w:val="32"/>
        </w:rPr>
      </w:pPr>
      <w:r>
        <w:rPr>
          <w:rFonts w:hint="eastAsia" w:ascii="仿宋_GB2312" w:eastAsia="仿宋_GB2312"/>
          <w:sz w:val="32"/>
        </w:rPr>
        <w:t>（六）其申请项目已根据《深圳市知识产权运营服务体系建设专项资金操作规程》（深市监规〔</w:t>
      </w:r>
      <w:r>
        <w:rPr>
          <w:rFonts w:ascii="仿宋_GB2312" w:eastAsia="仿宋_GB2312"/>
          <w:sz w:val="32"/>
        </w:rPr>
        <w:t>2019〕6号）等有关规定给予相同或类似资助的。</w:t>
      </w:r>
    </w:p>
    <w:p>
      <w:pPr>
        <w:pStyle w:val="2"/>
        <w:numPr>
          <w:ilvl w:val="0"/>
          <w:numId w:val="1"/>
        </w:numPr>
        <w:snapToGrid w:val="0"/>
        <w:spacing w:before="0" w:beforeAutospacing="0" w:after="0" w:afterAutospacing="0" w:line="560" w:lineRule="exact"/>
        <w:ind w:left="1288" w:hanging="658"/>
        <w:jc w:val="both"/>
        <w:rPr>
          <w:rFonts w:hint="default" w:ascii="仿宋_GB2312" w:eastAsia="仿宋_GB2312"/>
          <w:sz w:val="32"/>
          <w:szCs w:val="32"/>
        </w:rPr>
      </w:pPr>
      <w:r>
        <w:rPr>
          <w:rFonts w:ascii="Times New Roman" w:hAnsi="Times New Roman" w:eastAsia="黑体"/>
          <w:b w:val="0"/>
          <w:sz w:val="32"/>
        </w:rPr>
        <w:t>申报说明</w:t>
      </w:r>
    </w:p>
    <w:p>
      <w:pPr>
        <w:snapToGrid w:val="0"/>
        <w:spacing w:line="56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（一）项目主题</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根据国家、省、市重点工作部署重点推进的知识产权专项工作，</w:t>
      </w:r>
      <w:r>
        <w:rPr>
          <w:rFonts w:hint="eastAsia" w:ascii="仿宋_GB2312" w:eastAsia="仿宋_GB2312"/>
          <w:sz w:val="32"/>
          <w:szCs w:val="32"/>
          <w:lang w:eastAsia="zh-CN"/>
        </w:rPr>
        <w:t>经研究，</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年开展</w:t>
      </w:r>
      <w:r>
        <w:rPr>
          <w:rFonts w:hint="eastAsia" w:ascii="仿宋_GB2312" w:eastAsia="仿宋_GB2312"/>
          <w:sz w:val="32"/>
          <w:szCs w:val="32"/>
          <w:lang w:val="en-US" w:eastAsia="zh-CN"/>
        </w:rPr>
        <w:t>2</w:t>
      </w:r>
      <w:r>
        <w:rPr>
          <w:rFonts w:hint="eastAsia" w:ascii="仿宋_GB2312" w:eastAsia="仿宋_GB2312"/>
          <w:sz w:val="32"/>
          <w:szCs w:val="32"/>
        </w:rPr>
        <w:t>个知识产权重大专项资助项目，具体参照202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hAnsi="华文中宋" w:eastAsia="仿宋_GB2312" w:cs="黑体"/>
          <w:bCs/>
          <w:sz w:val="32"/>
          <w:szCs w:val="32"/>
        </w:rPr>
        <w:t>深圳市知识产权重大专项资助</w:t>
      </w:r>
      <w:r>
        <w:rPr>
          <w:rFonts w:hint="eastAsia" w:ascii="仿宋_GB2312" w:eastAsia="仿宋_GB2312"/>
          <w:sz w:val="32"/>
          <w:szCs w:val="32"/>
        </w:rPr>
        <w:t>项目清单。</w:t>
      </w:r>
    </w:p>
    <w:p>
      <w:pPr>
        <w:snapToGrid w:val="0"/>
        <w:spacing w:line="56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（二）项目方向</w:t>
      </w:r>
    </w:p>
    <w:p>
      <w:pPr>
        <w:snapToGrid w:val="0"/>
        <w:spacing w:line="560" w:lineRule="exact"/>
        <w:ind w:firstLine="640" w:firstLineChars="200"/>
        <w:rPr>
          <w:rFonts w:hint="eastAsia" w:ascii="仿宋_GB2312" w:hAnsi="华文中宋" w:eastAsia="仿宋_GB2312" w:cs="黑体"/>
          <w:bCs/>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hAnsi="华文中宋" w:eastAsia="仿宋_GB2312" w:cs="黑体"/>
          <w:bCs/>
          <w:sz w:val="32"/>
          <w:szCs w:val="32"/>
        </w:rPr>
        <w:t>深圳市知识产权重大专项资助项目方向</w:t>
      </w:r>
      <w:r>
        <w:rPr>
          <w:rFonts w:hint="eastAsia" w:ascii="仿宋_GB2312" w:hAnsi="华文中宋" w:eastAsia="仿宋_GB2312" w:cs="黑体"/>
          <w:bCs/>
          <w:sz w:val="32"/>
          <w:szCs w:val="32"/>
          <w:lang w:eastAsia="zh-CN"/>
        </w:rPr>
        <w:t>分别</w:t>
      </w:r>
      <w:r>
        <w:rPr>
          <w:rFonts w:hint="eastAsia" w:ascii="仿宋_GB2312" w:hAnsi="华文中宋" w:eastAsia="仿宋_GB2312" w:cs="黑体"/>
          <w:bCs/>
          <w:sz w:val="32"/>
          <w:szCs w:val="32"/>
        </w:rPr>
        <w:t>为</w:t>
      </w:r>
      <w:r>
        <w:rPr>
          <w:rFonts w:hint="eastAsia" w:ascii="仿宋_GB2312" w:hAnsi="华文中宋" w:eastAsia="仿宋_GB2312" w:cs="黑体"/>
          <w:bCs/>
          <w:sz w:val="32"/>
          <w:szCs w:val="32"/>
          <w:lang w:val="en-US" w:eastAsia="zh-CN"/>
        </w:rPr>
        <w:t>专利代理机构全息画像研究及系统建设项目、知识产权国际合作高地建设项目</w:t>
      </w:r>
      <w:r>
        <w:rPr>
          <w:rFonts w:hint="eastAsia" w:ascii="仿宋_GB2312" w:hAnsi="华文中宋" w:eastAsia="仿宋_GB2312" w:cs="黑体"/>
          <w:bCs/>
          <w:sz w:val="32"/>
          <w:szCs w:val="32"/>
        </w:rPr>
        <w:t>。</w:t>
      </w:r>
    </w:p>
    <w:p>
      <w:pPr>
        <w:snapToGrid w:val="0"/>
        <w:spacing w:line="560" w:lineRule="exact"/>
        <w:ind w:firstLine="640" w:firstLineChars="200"/>
        <w:rPr>
          <w:rFonts w:hint="eastAsia" w:ascii="仿宋_GB2312" w:hAnsi="华文中宋" w:eastAsia="仿宋_GB2312" w:cs="黑体"/>
          <w:bCs/>
          <w:sz w:val="32"/>
          <w:szCs w:val="32"/>
        </w:rPr>
      </w:pPr>
      <w:r>
        <w:rPr>
          <w:rFonts w:hint="eastAsia" w:ascii="仿宋_GB2312" w:hAnsi="华文中宋" w:eastAsia="仿宋_GB2312" w:cs="黑体"/>
          <w:bCs/>
          <w:sz w:val="32"/>
          <w:szCs w:val="32"/>
        </w:rPr>
        <w:t>1.</w:t>
      </w:r>
      <w:r>
        <w:rPr>
          <w:rFonts w:hint="eastAsia" w:ascii="仿宋_GB2312" w:hAnsi="华文中宋" w:eastAsia="仿宋_GB2312" w:cs="黑体"/>
          <w:bCs/>
          <w:sz w:val="32"/>
          <w:szCs w:val="32"/>
          <w:lang w:val="en-US" w:eastAsia="zh-CN"/>
        </w:rPr>
        <w:t>专利代理机构全息画像研究及系统建设项目</w:t>
      </w:r>
      <w:r>
        <w:rPr>
          <w:rFonts w:hint="eastAsia" w:ascii="仿宋_GB2312" w:hAnsi="华文中宋" w:eastAsia="仿宋_GB2312" w:cs="黑体"/>
          <w:bCs/>
          <w:sz w:val="32"/>
          <w:szCs w:val="32"/>
          <w:lang w:eastAsia="zh-CN"/>
        </w:rPr>
        <w:t>。该项目</w:t>
      </w:r>
      <w:r>
        <w:rPr>
          <w:rFonts w:hint="eastAsia" w:ascii="仿宋_GB2312" w:hAnsi="华文中宋" w:eastAsia="仿宋_GB2312" w:cs="黑体"/>
          <w:bCs/>
          <w:sz w:val="32"/>
          <w:szCs w:val="32"/>
        </w:rPr>
        <w:t>旨在</w:t>
      </w:r>
      <w:r>
        <w:rPr>
          <w:rFonts w:hint="eastAsia" w:ascii="仿宋_GB2312" w:hAnsi="华文中宋" w:eastAsia="仿宋_GB2312" w:cs="黑体"/>
          <w:bCs/>
          <w:sz w:val="32"/>
          <w:szCs w:val="32"/>
          <w:lang w:eastAsia="zh-CN"/>
        </w:rPr>
        <w:t>全面</w:t>
      </w:r>
      <w:r>
        <w:rPr>
          <w:rFonts w:hint="eastAsia" w:ascii="仿宋_GB2312" w:hAnsi="华文中宋" w:eastAsia="仿宋_GB2312" w:cs="黑体"/>
          <w:bCs/>
          <w:sz w:val="32"/>
          <w:szCs w:val="32"/>
          <w:lang w:val="en-US" w:eastAsia="zh-CN"/>
        </w:rPr>
        <w:t>贯彻落实党中央、国务院关于深化“放管服”改革优化营商环境的决策部署，</w:t>
      </w:r>
      <w:r>
        <w:rPr>
          <w:rFonts w:hint="eastAsia" w:ascii="仿宋_GB2312" w:hAnsi="华文中宋" w:eastAsia="仿宋_GB2312" w:cs="黑体"/>
          <w:bCs/>
          <w:sz w:val="32"/>
          <w:szCs w:val="32"/>
        </w:rPr>
        <w:t>科学整合专利代理信息</w:t>
      </w:r>
      <w:r>
        <w:rPr>
          <w:rFonts w:hint="eastAsia" w:ascii="仿宋_GB2312" w:hAnsi="华文中宋" w:eastAsia="仿宋_GB2312" w:cs="黑体"/>
          <w:bCs/>
          <w:sz w:val="32"/>
          <w:szCs w:val="32"/>
          <w:lang w:eastAsia="zh-CN"/>
        </w:rPr>
        <w:t>，</w:t>
      </w:r>
      <w:r>
        <w:rPr>
          <w:rFonts w:hint="eastAsia" w:ascii="仿宋_GB2312" w:hAnsi="华文中宋" w:eastAsia="仿宋_GB2312" w:cs="黑体"/>
          <w:bCs/>
          <w:sz w:val="32"/>
          <w:szCs w:val="32"/>
        </w:rPr>
        <w:t>配合国家、省局要求全面落实专利代理行业监管，实现监管机制能力全面提升</w:t>
      </w:r>
      <w:r>
        <w:rPr>
          <w:rFonts w:hint="eastAsia" w:ascii="仿宋_GB2312" w:hAnsi="华文中宋" w:eastAsia="仿宋_GB2312" w:cs="黑体"/>
          <w:bCs/>
          <w:sz w:val="32"/>
          <w:szCs w:val="32"/>
          <w:lang w:eastAsia="zh-CN"/>
        </w:rPr>
        <w:t>。</w:t>
      </w:r>
    </w:p>
    <w:p>
      <w:pPr>
        <w:snapToGrid w:val="0"/>
        <w:spacing w:line="560" w:lineRule="exact"/>
        <w:ind w:firstLine="640" w:firstLineChars="200"/>
        <w:rPr>
          <w:rFonts w:hint="eastAsia" w:ascii="仿宋_GB2312" w:hAnsi="华文中宋" w:eastAsia="仿宋_GB2312" w:cs="黑体"/>
          <w:bCs/>
          <w:sz w:val="32"/>
          <w:szCs w:val="32"/>
        </w:rPr>
      </w:pPr>
      <w:r>
        <w:rPr>
          <w:rFonts w:hint="eastAsia" w:ascii="仿宋_GB2312" w:hAnsi="华文中宋" w:eastAsia="仿宋_GB2312" w:cs="黑体"/>
          <w:bCs/>
          <w:sz w:val="32"/>
          <w:szCs w:val="32"/>
          <w:lang w:val="en-US" w:eastAsia="zh-CN"/>
        </w:rPr>
        <w:t>2.</w:t>
      </w:r>
      <w:r>
        <w:rPr>
          <w:rFonts w:hint="eastAsia" w:ascii="仿宋_GB2312" w:hAnsi="仿宋_GB2312" w:eastAsia="仿宋_GB2312" w:cs="仿宋_GB2312"/>
          <w:sz w:val="32"/>
          <w:szCs w:val="32"/>
          <w:lang w:eastAsia="zh-CN"/>
        </w:rPr>
        <w:t>知识产权国际合作高地建设</w:t>
      </w:r>
      <w:r>
        <w:rPr>
          <w:rFonts w:hint="eastAsia" w:ascii="仿宋_GB2312" w:hAnsi="华文中宋" w:eastAsia="仿宋_GB2312" w:cs="黑体"/>
          <w:bCs/>
          <w:sz w:val="32"/>
          <w:szCs w:val="32"/>
          <w:lang w:val="en-US" w:eastAsia="zh-CN"/>
        </w:rPr>
        <w:t>项目</w:t>
      </w:r>
      <w:r>
        <w:rPr>
          <w:rFonts w:hint="eastAsia" w:ascii="仿宋_GB2312" w:hAnsi="华文中宋" w:eastAsia="仿宋_GB2312" w:cs="黑体"/>
          <w:bCs/>
          <w:sz w:val="32"/>
          <w:szCs w:val="32"/>
          <w:lang w:eastAsia="zh-CN"/>
        </w:rPr>
        <w:t>。该项目</w:t>
      </w:r>
      <w:r>
        <w:rPr>
          <w:rFonts w:hint="eastAsia" w:ascii="仿宋_GB2312" w:hAnsi="华文中宋" w:eastAsia="仿宋_GB2312" w:cs="黑体"/>
          <w:bCs/>
          <w:sz w:val="32"/>
          <w:szCs w:val="32"/>
        </w:rPr>
        <w:t>旨在</w:t>
      </w:r>
      <w:r>
        <w:rPr>
          <w:rFonts w:hint="eastAsia" w:ascii="仿宋_GB2312" w:hAnsi="华文中宋" w:eastAsia="仿宋_GB2312" w:cs="黑体"/>
          <w:bCs/>
          <w:sz w:val="32"/>
          <w:szCs w:val="32"/>
          <w:lang w:val="en-US" w:eastAsia="zh-CN"/>
        </w:rPr>
        <w:t>通过举办此次论坛搭建国际平台，为深圳参与世界知识产权组织框架下的新领域新业态国际规则和标准制定提供渠道，同时也为深圳乃至粤港澳大湾区创新主体了解知识产权国际规则提供新途径。</w:t>
      </w:r>
    </w:p>
    <w:p>
      <w:pPr>
        <w:snapToGrid w:val="0"/>
        <w:spacing w:line="56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（三）项目要求</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1.有关项目需严格按照上级工作部署、考核标准及进度安排等工作要求推进实施。</w:t>
      </w:r>
    </w:p>
    <w:p>
      <w:pPr>
        <w:snapToGrid w:val="0"/>
        <w:spacing w:line="560" w:lineRule="exact"/>
        <w:ind w:firstLine="640" w:firstLineChars="200"/>
        <w:rPr>
          <w:rFonts w:ascii="楷体_GB2312" w:eastAsia="楷体_GB2312"/>
          <w:b/>
          <w:sz w:val="32"/>
          <w:szCs w:val="32"/>
        </w:rPr>
      </w:pPr>
      <w:r>
        <w:rPr>
          <w:rFonts w:hint="eastAsia" w:ascii="仿宋_GB2312" w:eastAsia="仿宋_GB2312"/>
          <w:sz w:val="32"/>
          <w:szCs w:val="32"/>
        </w:rPr>
        <w:t>2.同一申请人可申报项目不超过1项。</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申请材料</w:t>
      </w:r>
    </w:p>
    <w:p>
      <w:pPr>
        <w:pStyle w:val="6"/>
        <w:snapToGrid w:val="0"/>
        <w:spacing w:line="560" w:lineRule="exact"/>
        <w:ind w:left="640" w:firstLine="0" w:firstLineChars="0"/>
        <w:rPr>
          <w:rFonts w:ascii="楷体_GB2312" w:eastAsia="楷体_GB2312"/>
          <w:b/>
          <w:sz w:val="32"/>
          <w:szCs w:val="32"/>
        </w:rPr>
      </w:pPr>
      <w:r>
        <w:rPr>
          <w:rFonts w:hint="eastAsia" w:ascii="楷体_GB2312" w:eastAsia="楷体_GB2312"/>
          <w:b/>
          <w:sz w:val="32"/>
          <w:szCs w:val="32"/>
        </w:rPr>
        <w:t>（一）项目申请表</w:t>
      </w:r>
    </w:p>
    <w:p>
      <w:pPr>
        <w:snapToGrid w:val="0"/>
        <w:spacing w:line="560" w:lineRule="exact"/>
        <w:ind w:left="640"/>
        <w:rPr>
          <w:rFonts w:ascii="仿宋_GB2312" w:eastAsia="仿宋_GB2312"/>
          <w:sz w:val="32"/>
          <w:szCs w:val="32"/>
        </w:rPr>
      </w:pPr>
      <w:r>
        <w:rPr>
          <w:rFonts w:hint="eastAsia" w:ascii="仿宋_GB2312" w:eastAsia="仿宋_GB2312"/>
          <w:sz w:val="32"/>
          <w:szCs w:val="32"/>
        </w:rPr>
        <w:t>在申报系统上在线填写项目申报信息。</w:t>
      </w:r>
    </w:p>
    <w:p>
      <w:pPr>
        <w:pStyle w:val="6"/>
        <w:snapToGrid w:val="0"/>
        <w:spacing w:line="560" w:lineRule="exact"/>
        <w:ind w:left="640" w:firstLine="0" w:firstLineChars="0"/>
        <w:rPr>
          <w:rFonts w:ascii="楷体_GB2312" w:eastAsia="楷体_GB2312"/>
          <w:b/>
          <w:sz w:val="32"/>
          <w:szCs w:val="32"/>
        </w:rPr>
      </w:pPr>
      <w:r>
        <w:rPr>
          <w:rFonts w:hint="eastAsia" w:ascii="楷体_GB2312" w:eastAsia="楷体_GB2312"/>
          <w:b/>
          <w:sz w:val="32"/>
          <w:szCs w:val="32"/>
        </w:rPr>
        <w:t>（二）申请人主体资格材料</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1.企业申请人无需提供营业执照，将由系统后台进行信息核实。</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非企业申请人根据单位性质，提交事业单位法人证书、民办非企业单位登记证书等主体资格材料的原件彩色扫描件（pdf格式）或者加盖公章的复印件。</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申请人名称等事项内容发生变更的，企业申请人无须额外提交证明，非企业申请人（事业单位、社会组织等）须提交主管部门出具的有关变更证明文件，提交形式为原件或者加盖申请人公章的复印件的彩色扫描件（pdf格式）。</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申请人自行申报的，需提交《申报项目委托情况申明》（参照申报系统材料清单自检范本表格模版）、经办人的身份证（正反面）、社保卡（正反面）和近三个月社保缴纳费用明细表（能清晰显示社保缴纳单位全称，且与申请人名称一致），上述材料（原件或复印件）均需加盖申请人清晰公章，提交形式为彩色扫描件（pdf格式）。</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委托代办机构申报的，应当提交申请人和被委托代办机构共同出具的《申报项目委托情况申明》（参照申报系统材料清单自检范本表格模版）、代办机构经办人的身份证（正反面）、社保卡（正反面）和近三个月社保缴纳费用明细表（能清晰显示社保缴纳单位全称，且与代办机构名称一致），上述材料（原件或复印件）均需加盖申请人和代办机构双方公章，提交形式为彩色扫描件（pdf格式）。</w:t>
      </w:r>
    </w:p>
    <w:p>
      <w:pPr>
        <w:numPr>
          <w:ilvl w:val="0"/>
          <w:numId w:val="2"/>
        </w:num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申请人类型为企业时应当进入人民法院公告网（https://rmfygg.court.gov.cn/），公告类型选择破产文书进行查询，查询结果为“没有找到符合条件的相关内容”进行全屏截图证明并加盖清晰公章，扫描后以pdf格式上传。</w:t>
      </w:r>
    </w:p>
    <w:p>
      <w:pPr>
        <w:numPr>
          <w:ilvl w:val="0"/>
          <w:numId w:val="2"/>
        </w:num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申请人需将上述1至3项申请主体资格材料制作在一份PDF格式文档内并上传至系统。</w:t>
      </w:r>
    </w:p>
    <w:p>
      <w:pPr>
        <w:numPr>
          <w:ilvl w:val="-1"/>
          <w:numId w:val="0"/>
        </w:num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文件应当以申请人名称+项目名称+主体资格证明文件命名，示例：“深圳市***科技有限公司</w:t>
      </w:r>
      <w:r>
        <w:rPr>
          <w:rFonts w:hint="eastAsia" w:ascii="仿宋_GB2312" w:eastAsia="仿宋_GB2312"/>
          <w:sz w:val="32"/>
          <w:szCs w:val="32"/>
          <w:lang w:val="en-US" w:eastAsia="zh-CN"/>
        </w:rPr>
        <w:t>2022年</w:t>
      </w:r>
      <w:r>
        <w:rPr>
          <w:rFonts w:hint="eastAsia" w:ascii="仿宋_GB2312" w:eastAsia="仿宋_GB2312"/>
          <w:sz w:val="32"/>
          <w:szCs w:val="32"/>
        </w:rPr>
        <w:t>知识产权</w:t>
      </w:r>
      <w:r>
        <w:rPr>
          <w:rFonts w:hint="eastAsia" w:ascii="仿宋_GB2312" w:eastAsia="仿宋_GB2312"/>
          <w:sz w:val="32"/>
          <w:szCs w:val="32"/>
          <w:lang w:val="en-US" w:eastAsia="zh-CN"/>
        </w:rPr>
        <w:t>重大专项</w:t>
      </w:r>
      <w:r>
        <w:rPr>
          <w:rFonts w:hint="eastAsia" w:ascii="仿宋_GB2312" w:eastAsia="仿宋_GB2312"/>
          <w:sz w:val="32"/>
          <w:szCs w:val="32"/>
        </w:rPr>
        <w:t>资助项目主体资格证明文件”。</w:t>
      </w:r>
    </w:p>
    <w:p>
      <w:pPr>
        <w:pStyle w:val="6"/>
        <w:snapToGrid w:val="0"/>
        <w:spacing w:line="560" w:lineRule="exact"/>
        <w:ind w:left="640" w:firstLine="0" w:firstLineChars="0"/>
        <w:rPr>
          <w:rFonts w:ascii="楷体_GB2312" w:eastAsia="楷体_GB2312"/>
          <w:b/>
          <w:sz w:val="32"/>
          <w:szCs w:val="32"/>
        </w:rPr>
      </w:pPr>
      <w:r>
        <w:rPr>
          <w:rFonts w:hint="eastAsia" w:ascii="楷体_GB2312" w:eastAsia="楷体_GB2312"/>
          <w:b/>
          <w:sz w:val="32"/>
          <w:szCs w:val="32"/>
          <w:lang w:eastAsia="zh-CN"/>
        </w:rPr>
        <w:t>（</w:t>
      </w:r>
      <w:r>
        <w:rPr>
          <w:rFonts w:hint="eastAsia" w:ascii="楷体_GB2312" w:eastAsia="楷体_GB2312"/>
          <w:b/>
          <w:sz w:val="32"/>
          <w:szCs w:val="32"/>
          <w:lang w:val="en-US" w:eastAsia="zh-CN"/>
        </w:rPr>
        <w:t>三</w:t>
      </w:r>
      <w:r>
        <w:rPr>
          <w:rFonts w:hint="eastAsia" w:ascii="楷体_GB2312" w:eastAsia="楷体_GB2312"/>
          <w:b/>
          <w:sz w:val="32"/>
          <w:szCs w:val="32"/>
          <w:lang w:eastAsia="zh-CN"/>
        </w:rPr>
        <w:t>）同类型项目经验及业绩情况</w:t>
      </w:r>
      <w:r>
        <w:rPr>
          <w:rFonts w:hint="eastAsia" w:ascii="楷体_GB2312" w:eastAsia="楷体_GB2312"/>
          <w:b/>
          <w:sz w:val="32"/>
          <w:szCs w:val="32"/>
        </w:rPr>
        <w:t>的相关材料</w:t>
      </w:r>
    </w:p>
    <w:p>
      <w:pPr>
        <w:numPr>
          <w:ilvl w:val="255"/>
          <w:numId w:val="0"/>
        </w:num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1.同类型</w:t>
      </w:r>
      <w:r>
        <w:rPr>
          <w:rFonts w:hint="eastAsia" w:ascii="仿宋_GB2312" w:eastAsia="仿宋_GB2312"/>
          <w:b w:val="0"/>
          <w:sz w:val="32"/>
          <w:szCs w:val="32"/>
          <w:lang w:eastAsia="zh-CN"/>
        </w:rPr>
        <w:t>项目经验</w:t>
      </w:r>
      <w:r>
        <w:rPr>
          <w:rFonts w:hint="eastAsia" w:ascii="仿宋_GB2312" w:eastAsia="仿宋_GB2312" w:cs="Times New Roman"/>
          <w:b w:val="0"/>
          <w:sz w:val="32"/>
          <w:szCs w:val="32"/>
          <w:lang w:eastAsia="zh-CN"/>
        </w:rPr>
        <w:t>及业</w:t>
      </w:r>
      <w:r>
        <w:rPr>
          <w:rFonts w:hint="eastAsia" w:ascii="仿宋_GB2312" w:eastAsia="仿宋_GB2312"/>
          <w:b w:val="0"/>
          <w:sz w:val="32"/>
          <w:szCs w:val="32"/>
          <w:lang w:eastAsia="zh-CN"/>
        </w:rPr>
        <w:t>绩情况</w:t>
      </w:r>
      <w:r>
        <w:rPr>
          <w:rFonts w:hint="eastAsia" w:ascii="仿宋_GB2312" w:eastAsia="仿宋_GB2312"/>
          <w:b w:val="0"/>
          <w:sz w:val="32"/>
          <w:szCs w:val="32"/>
        </w:rPr>
        <w:t>的相关材料</w:t>
      </w:r>
      <w:r>
        <w:rPr>
          <w:rFonts w:hint="eastAsia" w:ascii="仿宋_GB2312" w:eastAsia="仿宋_GB2312"/>
          <w:b w:val="0"/>
          <w:sz w:val="32"/>
          <w:szCs w:val="32"/>
          <w:lang w:eastAsia="zh-CN"/>
        </w:rPr>
        <w:t>：</w:t>
      </w:r>
      <w:r>
        <w:rPr>
          <w:rFonts w:hint="eastAsia" w:ascii="仿宋_GB2312" w:eastAsia="仿宋_GB2312"/>
          <w:sz w:val="32"/>
          <w:szCs w:val="32"/>
        </w:rPr>
        <w:t>包括但不限于</w:t>
      </w:r>
      <w:r>
        <w:rPr>
          <w:rFonts w:hint="eastAsia" w:ascii="仿宋_GB2312" w:eastAsia="仿宋_GB2312"/>
          <w:sz w:val="32"/>
          <w:szCs w:val="32"/>
          <w:lang w:eastAsia="zh-CN"/>
        </w:rPr>
        <w:t>申请人承接</w:t>
      </w:r>
      <w:r>
        <w:rPr>
          <w:rFonts w:hint="eastAsia" w:ascii="仿宋_GB2312" w:eastAsia="仿宋_GB2312"/>
          <w:sz w:val="32"/>
          <w:szCs w:val="32"/>
        </w:rPr>
        <w:t>国家、省、市知识产权相关重大项目</w:t>
      </w:r>
      <w:r>
        <w:rPr>
          <w:rFonts w:hint="eastAsia" w:ascii="仿宋_GB2312" w:eastAsia="仿宋_GB2312"/>
          <w:sz w:val="32"/>
          <w:szCs w:val="32"/>
          <w:lang w:eastAsia="zh-CN"/>
        </w:rPr>
        <w:t>的</w:t>
      </w:r>
      <w:r>
        <w:rPr>
          <w:rFonts w:hint="eastAsia" w:ascii="仿宋_GB2312" w:eastAsia="仿宋_GB2312"/>
          <w:sz w:val="32"/>
          <w:szCs w:val="32"/>
        </w:rPr>
        <w:t>立项证明材料</w:t>
      </w:r>
      <w:r>
        <w:rPr>
          <w:rFonts w:hint="eastAsia" w:ascii="仿宋_GB2312" w:eastAsia="仿宋_GB2312"/>
          <w:sz w:val="32"/>
          <w:szCs w:val="32"/>
          <w:lang w:eastAsia="zh-CN"/>
        </w:rPr>
        <w:t>、项目</w:t>
      </w:r>
      <w:r>
        <w:rPr>
          <w:rFonts w:hint="eastAsia" w:ascii="仿宋_GB2312" w:eastAsia="仿宋_GB2312"/>
          <w:sz w:val="32"/>
          <w:szCs w:val="32"/>
        </w:rPr>
        <w:t>合同、项目研究报告、</w:t>
      </w:r>
      <w:r>
        <w:rPr>
          <w:rFonts w:hint="eastAsia" w:ascii="仿宋_GB2312" w:eastAsia="仿宋_GB2312"/>
          <w:sz w:val="32"/>
          <w:szCs w:val="32"/>
          <w:lang w:eastAsia="zh-CN"/>
        </w:rPr>
        <w:t>结题报告、成果验收情况</w:t>
      </w:r>
      <w:r>
        <w:rPr>
          <w:rFonts w:hint="eastAsia" w:ascii="仿宋_GB2312" w:eastAsia="仿宋_GB2312"/>
          <w:sz w:val="32"/>
          <w:szCs w:val="32"/>
        </w:rPr>
        <w:t>等</w:t>
      </w:r>
      <w:r>
        <w:rPr>
          <w:rFonts w:hint="eastAsia" w:ascii="仿宋_GB2312" w:eastAsia="仿宋_GB2312"/>
          <w:sz w:val="32"/>
          <w:szCs w:val="32"/>
          <w:lang w:eastAsia="zh-CN"/>
        </w:rPr>
        <w:t>，</w:t>
      </w:r>
      <w:r>
        <w:rPr>
          <w:rFonts w:hint="eastAsia" w:ascii="仿宋_GB2312" w:eastAsia="仿宋_GB2312"/>
          <w:sz w:val="32"/>
          <w:szCs w:val="32"/>
        </w:rPr>
        <w:t>上述</w:t>
      </w:r>
      <w:r>
        <w:rPr>
          <w:rFonts w:hint="eastAsia" w:ascii="仿宋_GB2312" w:eastAsia="仿宋_GB2312"/>
          <w:sz w:val="32"/>
          <w:szCs w:val="32"/>
          <w:lang w:eastAsia="zh-CN"/>
        </w:rPr>
        <w:t>材料</w:t>
      </w:r>
      <w:r>
        <w:rPr>
          <w:rFonts w:hint="eastAsia" w:ascii="仿宋_GB2312" w:eastAsia="仿宋_GB2312"/>
          <w:sz w:val="32"/>
          <w:szCs w:val="32"/>
        </w:rPr>
        <w:t>应当加盖申请人清晰公章，并形成</w:t>
      </w:r>
      <w:r>
        <w:rPr>
          <w:rFonts w:hint="eastAsia" w:ascii="仿宋_GB2312" w:eastAsia="仿宋_GB2312"/>
          <w:sz w:val="32"/>
          <w:szCs w:val="32"/>
          <w:lang w:eastAsia="zh-CN"/>
        </w:rPr>
        <w:t>统一</w:t>
      </w:r>
      <w:r>
        <w:rPr>
          <w:rFonts w:hint="eastAsia" w:ascii="仿宋_GB2312" w:eastAsia="仿宋_GB2312"/>
          <w:sz w:val="32"/>
          <w:szCs w:val="32"/>
        </w:rPr>
        <w:t>PDF格式文档提交。</w:t>
      </w:r>
    </w:p>
    <w:p>
      <w:pPr>
        <w:numPr>
          <w:ilvl w:val="255"/>
          <w:numId w:val="0"/>
        </w:numPr>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提供证明材料为PDF格式文档，存在多份证明文件，应当分别形成多份PDF格式文档，汇总</w:t>
      </w:r>
      <w:r>
        <w:rPr>
          <w:rFonts w:hint="eastAsia" w:ascii="仿宋_GB2312" w:eastAsia="仿宋_GB2312"/>
          <w:sz w:val="32"/>
          <w:szCs w:val="32"/>
          <w:lang w:eastAsia="zh-CN"/>
        </w:rPr>
        <w:t>为一个</w:t>
      </w:r>
      <w:r>
        <w:rPr>
          <w:rFonts w:hint="eastAsia" w:ascii="仿宋_GB2312" w:eastAsia="仿宋_GB2312"/>
          <w:sz w:val="32"/>
          <w:szCs w:val="32"/>
        </w:rPr>
        <w:t>压缩文件（zip格式）后上传申报系统</w:t>
      </w:r>
      <w:r>
        <w:rPr>
          <w:rFonts w:hint="eastAsia" w:ascii="仿宋_GB2312" w:eastAsia="仿宋_GB2312"/>
          <w:sz w:val="32"/>
          <w:szCs w:val="32"/>
          <w:lang w:eastAsia="zh-CN"/>
        </w:rPr>
        <w:t>。</w:t>
      </w:r>
    </w:p>
    <w:p>
      <w:pPr>
        <w:numPr>
          <w:ilvl w:val="255"/>
          <w:numId w:val="0"/>
        </w:numPr>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文件应当以申请人名称+项目名称+</w:t>
      </w:r>
      <w:r>
        <w:rPr>
          <w:rFonts w:hint="eastAsia" w:ascii="仿宋_GB2312" w:eastAsia="仿宋_GB2312"/>
          <w:b w:val="0"/>
          <w:sz w:val="32"/>
          <w:szCs w:val="32"/>
          <w:lang w:eastAsia="zh-CN"/>
        </w:rPr>
        <w:t>同类型项目经验及业绩情况</w:t>
      </w:r>
      <w:r>
        <w:rPr>
          <w:rFonts w:hint="eastAsia" w:ascii="仿宋_GB2312" w:eastAsia="仿宋_GB2312"/>
          <w:sz w:val="32"/>
          <w:szCs w:val="32"/>
        </w:rPr>
        <w:t>命名，示例：“深圳市***科技有限公司2022年知识产权重大专项资助项目同类型项目经验及业绩情况”</w:t>
      </w:r>
      <w:r>
        <w:rPr>
          <w:rFonts w:hint="eastAsia" w:ascii="仿宋_GB2312" w:eastAsia="仿宋_GB2312"/>
          <w:sz w:val="32"/>
          <w:szCs w:val="32"/>
          <w:lang w:eastAsia="zh-CN"/>
        </w:rPr>
        <w:t>。</w:t>
      </w:r>
    </w:p>
    <w:p>
      <w:pPr>
        <w:numPr>
          <w:ilvl w:val="255"/>
          <w:numId w:val="0"/>
        </w:numPr>
        <w:snapToGrid w:val="0"/>
        <w:spacing w:line="560" w:lineRule="exact"/>
        <w:ind w:firstLine="642" w:firstLineChars="200"/>
        <w:rPr>
          <w:rFonts w:ascii="楷体_GB2312" w:eastAsia="楷体_GB2312"/>
          <w:b/>
          <w:sz w:val="32"/>
          <w:szCs w:val="32"/>
        </w:rPr>
      </w:pPr>
      <w:r>
        <w:rPr>
          <w:rFonts w:hint="eastAsia" w:ascii="楷体_GB2312" w:eastAsia="楷体_GB2312"/>
          <w:b/>
          <w:sz w:val="32"/>
          <w:szCs w:val="32"/>
        </w:rPr>
        <w:t>（</w:t>
      </w:r>
      <w:r>
        <w:rPr>
          <w:rFonts w:hint="eastAsia" w:ascii="楷体_GB2312" w:eastAsia="楷体_GB2312"/>
          <w:b/>
          <w:sz w:val="32"/>
          <w:szCs w:val="32"/>
          <w:lang w:val="en-US" w:eastAsia="zh-CN"/>
        </w:rPr>
        <w:t>四</w:t>
      </w:r>
      <w:r>
        <w:rPr>
          <w:rFonts w:hint="eastAsia" w:ascii="楷体_GB2312" w:eastAsia="楷体_GB2312"/>
          <w:b/>
          <w:sz w:val="32"/>
          <w:szCs w:val="32"/>
        </w:rPr>
        <w:t>）知识产权工作人员能力相关材料</w:t>
      </w:r>
    </w:p>
    <w:p>
      <w:pPr>
        <w:pStyle w:val="6"/>
        <w:snapToGrid w:val="0"/>
        <w:spacing w:line="560" w:lineRule="exact"/>
        <w:ind w:firstLine="640"/>
        <w:rPr>
          <w:rFonts w:hint="eastAsia" w:ascii="仿宋_GB2312" w:eastAsia="仿宋_GB2312"/>
          <w:sz w:val="32"/>
          <w:szCs w:val="32"/>
          <w:lang w:eastAsia="zh-CN"/>
        </w:rPr>
      </w:pPr>
      <w:r>
        <w:rPr>
          <w:rFonts w:hint="eastAsia" w:ascii="仿宋_GB2312" w:eastAsia="仿宋_GB2312"/>
          <w:sz w:val="32"/>
          <w:szCs w:val="32"/>
        </w:rPr>
        <w:t>1.参照材料清单自检范本表格下载知识产权工作人员列表模板并按要求填写，人员能力相关材料</w:t>
      </w:r>
      <w:r>
        <w:rPr>
          <w:rFonts w:hint="eastAsia" w:ascii="仿宋_GB2312" w:eastAsia="仿宋_GB2312"/>
          <w:sz w:val="32"/>
          <w:szCs w:val="32"/>
          <w:lang w:eastAsia="zh-CN"/>
        </w:rPr>
        <w:t>包括但不限于：企业专职知识产权工作人员列表、</w:t>
      </w:r>
      <w:r>
        <w:rPr>
          <w:rFonts w:hint="eastAsia" w:ascii="仿宋_GB2312" w:eastAsia="仿宋_GB2312"/>
          <w:sz w:val="32"/>
          <w:szCs w:val="32"/>
        </w:rPr>
        <w:t>并提供对应知识产权工作人员的身份证</w:t>
      </w:r>
      <w:r>
        <w:rPr>
          <w:rFonts w:hint="eastAsia" w:ascii="仿宋_GB2312" w:eastAsia="仿宋_GB2312"/>
          <w:sz w:val="32"/>
          <w:szCs w:val="32"/>
          <w:lang w:eastAsia="zh-CN"/>
        </w:rPr>
        <w:t>（正反面）</w:t>
      </w:r>
      <w:r>
        <w:rPr>
          <w:rFonts w:hint="eastAsia" w:ascii="仿宋_GB2312" w:eastAsia="仿宋_GB2312"/>
          <w:sz w:val="32"/>
          <w:szCs w:val="32"/>
        </w:rPr>
        <w:t>、学历或学位证明、专业资格职称</w:t>
      </w:r>
      <w:r>
        <w:rPr>
          <w:rFonts w:hint="eastAsia" w:ascii="仿宋_GB2312" w:eastAsia="仿宋_GB2312"/>
          <w:sz w:val="32"/>
          <w:szCs w:val="32"/>
          <w:lang w:eastAsia="zh-CN"/>
        </w:rPr>
        <w:t>（如有）</w:t>
      </w:r>
      <w:r>
        <w:rPr>
          <w:rFonts w:hint="eastAsia" w:ascii="仿宋_GB2312" w:eastAsia="仿宋_GB2312"/>
          <w:sz w:val="32"/>
          <w:szCs w:val="32"/>
        </w:rPr>
        <w:t>、</w:t>
      </w:r>
      <w:r>
        <w:rPr>
          <w:rFonts w:hint="eastAsia" w:ascii="仿宋_GB2312" w:eastAsia="仿宋_GB2312"/>
          <w:sz w:val="32"/>
          <w:szCs w:val="32"/>
          <w:lang w:eastAsia="zh-CN"/>
        </w:rPr>
        <w:t>近</w:t>
      </w:r>
      <w:r>
        <w:rPr>
          <w:rFonts w:hint="eastAsia" w:ascii="仿宋_GB2312" w:eastAsia="仿宋_GB2312"/>
          <w:sz w:val="32"/>
          <w:szCs w:val="32"/>
          <w:lang w:val="en-US" w:eastAsia="zh-CN"/>
        </w:rPr>
        <w:t>3个月</w:t>
      </w:r>
      <w:r>
        <w:rPr>
          <w:rFonts w:hint="eastAsia" w:ascii="仿宋_GB2312" w:eastAsia="仿宋_GB2312"/>
          <w:sz w:val="32"/>
          <w:szCs w:val="32"/>
        </w:rPr>
        <w:t>社保缴纳费用明细表</w:t>
      </w:r>
      <w:r>
        <w:rPr>
          <w:rFonts w:hint="eastAsia" w:ascii="仿宋_GB2312" w:eastAsia="仿宋_GB2312"/>
          <w:sz w:val="32"/>
          <w:szCs w:val="32"/>
          <w:lang w:eastAsia="zh-CN"/>
        </w:rPr>
        <w:t>、</w:t>
      </w:r>
      <w:r>
        <w:rPr>
          <w:rFonts w:hint="eastAsia" w:ascii="仿宋_GB2312" w:eastAsia="仿宋_GB2312"/>
          <w:sz w:val="32"/>
          <w:szCs w:val="32"/>
        </w:rPr>
        <w:t>知识产权工作经历</w:t>
      </w:r>
      <w:r>
        <w:rPr>
          <w:rFonts w:hint="eastAsia" w:ascii="仿宋_GB2312" w:eastAsia="仿宋_GB2312"/>
          <w:sz w:val="32"/>
          <w:szCs w:val="32"/>
          <w:lang w:eastAsia="zh-CN"/>
        </w:rPr>
        <w:t>证明、相关</w:t>
      </w:r>
      <w:r>
        <w:rPr>
          <w:rFonts w:hint="eastAsia" w:ascii="仿宋_GB2312" w:eastAsia="仿宋_GB2312"/>
          <w:sz w:val="32"/>
          <w:szCs w:val="32"/>
        </w:rPr>
        <w:t>证书等</w:t>
      </w:r>
      <w:r>
        <w:rPr>
          <w:rFonts w:hint="eastAsia" w:ascii="仿宋_GB2312" w:eastAsia="仿宋_GB2312"/>
          <w:sz w:val="32"/>
          <w:szCs w:val="32"/>
          <w:lang w:eastAsia="zh-CN"/>
        </w:rPr>
        <w:t>证明材料，</w:t>
      </w:r>
      <w:r>
        <w:rPr>
          <w:rFonts w:hint="eastAsia" w:ascii="仿宋_GB2312" w:eastAsia="仿宋_GB2312"/>
          <w:sz w:val="32"/>
          <w:szCs w:val="32"/>
        </w:rPr>
        <w:t>提交形式为原件或者加盖申请人公章的复印件的彩色扫描件（pdf格式）。</w:t>
      </w:r>
    </w:p>
    <w:p>
      <w:pPr>
        <w:pStyle w:val="6"/>
        <w:snapToGrid w:val="0"/>
        <w:spacing w:line="560" w:lineRule="exact"/>
        <w:ind w:firstLine="64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上述</w:t>
      </w:r>
      <w:r>
        <w:rPr>
          <w:rFonts w:hint="eastAsia" w:ascii="仿宋_GB2312" w:eastAsia="仿宋_GB2312"/>
          <w:sz w:val="32"/>
          <w:szCs w:val="32"/>
          <w:lang w:eastAsia="zh-CN"/>
        </w:rPr>
        <w:t>材料请按</w:t>
      </w:r>
      <w:r>
        <w:rPr>
          <w:rFonts w:hint="eastAsia" w:ascii="仿宋_GB2312" w:eastAsia="仿宋_GB2312"/>
          <w:sz w:val="32"/>
          <w:szCs w:val="32"/>
        </w:rPr>
        <w:t>顺序</w:t>
      </w:r>
      <w:r>
        <w:rPr>
          <w:rFonts w:hint="eastAsia" w:ascii="仿宋_GB2312" w:eastAsia="仿宋_GB2312"/>
          <w:sz w:val="32"/>
          <w:szCs w:val="32"/>
          <w:lang w:eastAsia="zh-CN"/>
        </w:rPr>
        <w:t>合并为一个</w:t>
      </w:r>
      <w:r>
        <w:rPr>
          <w:rFonts w:hint="eastAsia" w:ascii="仿宋_GB2312" w:eastAsia="仿宋_GB2312"/>
          <w:sz w:val="32"/>
          <w:szCs w:val="32"/>
        </w:rPr>
        <w:t>PDF格式文档，并以该人员姓名及身份证号码命名，</w:t>
      </w:r>
      <w:r>
        <w:rPr>
          <w:rFonts w:hint="eastAsia" w:ascii="仿宋_GB2312" w:eastAsia="仿宋_GB2312"/>
          <w:sz w:val="32"/>
          <w:szCs w:val="32"/>
          <w:lang w:eastAsia="zh-CN"/>
        </w:rPr>
        <w:t>文件名</w:t>
      </w:r>
      <w:r>
        <w:rPr>
          <w:rFonts w:hint="eastAsia" w:ascii="仿宋_GB2312" w:eastAsia="仿宋_GB2312"/>
          <w:sz w:val="32"/>
          <w:szCs w:val="32"/>
        </w:rPr>
        <w:t>示例：张三123456789123456789。上述多份PDF格式文档及知识产权工作人员列表汇总</w:t>
      </w:r>
      <w:r>
        <w:rPr>
          <w:rFonts w:hint="eastAsia" w:ascii="仿宋_GB2312" w:eastAsia="仿宋_GB2312"/>
          <w:sz w:val="32"/>
          <w:szCs w:val="32"/>
          <w:lang w:eastAsia="zh-CN"/>
        </w:rPr>
        <w:t>为一个</w:t>
      </w:r>
      <w:r>
        <w:rPr>
          <w:rFonts w:hint="eastAsia" w:ascii="仿宋_GB2312" w:eastAsia="仿宋_GB2312"/>
          <w:sz w:val="32"/>
          <w:szCs w:val="32"/>
        </w:rPr>
        <w:t>压缩文件（zip格式）后上传申报系统</w:t>
      </w:r>
      <w:r>
        <w:rPr>
          <w:rFonts w:hint="eastAsia" w:ascii="仿宋_GB2312" w:eastAsia="仿宋_GB2312"/>
          <w:sz w:val="32"/>
          <w:szCs w:val="32"/>
          <w:lang w:eastAsia="zh-CN"/>
        </w:rPr>
        <w:t>。</w:t>
      </w:r>
    </w:p>
    <w:p>
      <w:pPr>
        <w:pStyle w:val="6"/>
        <w:snapToGrid w:val="0"/>
        <w:spacing w:line="560" w:lineRule="exact"/>
        <w:ind w:firstLine="640"/>
        <w:rPr>
          <w:rFonts w:hint="eastAsia" w:ascii="仿宋_GB2312" w:eastAsia="仿宋_GB2312"/>
          <w:sz w:val="32"/>
          <w:szCs w:val="32"/>
        </w:rPr>
      </w:pPr>
      <w:r>
        <w:rPr>
          <w:rFonts w:hint="eastAsia" w:ascii="仿宋_GB2312" w:eastAsia="仿宋_GB2312"/>
          <w:sz w:val="32"/>
          <w:szCs w:val="32"/>
        </w:rPr>
        <w:t>文件应当以申请人名称+项目名称+知识产权工作人员能力相关材料命名，示例：“深圳市***科技有限公司2022年知识产权重大专项资助项目知识产权工作人员能力相关材料”。</w:t>
      </w:r>
    </w:p>
    <w:p>
      <w:pPr>
        <w:pStyle w:val="6"/>
        <w:snapToGrid w:val="0"/>
        <w:spacing w:line="560" w:lineRule="exact"/>
        <w:ind w:left="640" w:firstLine="0" w:firstLineChars="0"/>
        <w:rPr>
          <w:rFonts w:ascii="楷体_GB2312" w:eastAsia="楷体_GB2312"/>
          <w:b/>
          <w:sz w:val="32"/>
          <w:szCs w:val="32"/>
        </w:rPr>
      </w:pPr>
      <w:r>
        <w:rPr>
          <w:rFonts w:hint="eastAsia" w:ascii="楷体_GB2312" w:eastAsia="楷体_GB2312"/>
          <w:b/>
          <w:sz w:val="32"/>
          <w:szCs w:val="32"/>
        </w:rPr>
        <w:t>（</w:t>
      </w:r>
      <w:r>
        <w:rPr>
          <w:rFonts w:hint="eastAsia" w:ascii="楷体_GB2312" w:eastAsia="楷体_GB2312"/>
          <w:b/>
          <w:sz w:val="32"/>
          <w:szCs w:val="32"/>
          <w:lang w:val="en-US" w:eastAsia="zh-CN"/>
        </w:rPr>
        <w:t>五</w:t>
      </w:r>
      <w:r>
        <w:rPr>
          <w:rFonts w:hint="eastAsia" w:ascii="楷体_GB2312" w:eastAsia="楷体_GB2312"/>
          <w:b/>
          <w:sz w:val="32"/>
          <w:szCs w:val="32"/>
        </w:rPr>
        <w:t>）其它必要的证明材料</w:t>
      </w:r>
    </w:p>
    <w:p>
      <w:pPr>
        <w:pStyle w:val="6"/>
        <w:numPr>
          <w:ilvl w:val="-1"/>
          <w:numId w:val="0"/>
        </w:numPr>
        <w:tabs>
          <w:tab w:val="left" w:pos="1134"/>
        </w:tabs>
        <w:snapToGrid w:val="0"/>
        <w:spacing w:line="560" w:lineRule="exact"/>
        <w:ind w:firstLine="642" w:firstLineChars="200"/>
        <w:rPr>
          <w:rFonts w:hint="eastAsia" w:ascii="仿宋_GB2312" w:eastAsia="仿宋_GB2312"/>
          <w:sz w:val="32"/>
          <w:szCs w:val="32"/>
        </w:rPr>
      </w:pPr>
      <w:r>
        <w:rPr>
          <w:rFonts w:hint="eastAsia" w:ascii="仿宋" w:hAnsi="仿宋" w:eastAsia="仿宋" w:cs="仿宋"/>
          <w:b/>
          <w:sz w:val="32"/>
          <w:szCs w:val="32"/>
        </w:rPr>
        <w:t>获奖情况相关证明材料：</w:t>
      </w:r>
      <w:r>
        <w:rPr>
          <w:rFonts w:hint="eastAsia" w:ascii="仿宋_GB2312" w:eastAsia="仿宋_GB2312"/>
          <w:sz w:val="32"/>
          <w:szCs w:val="32"/>
          <w:lang w:eastAsia="zh-CN"/>
        </w:rPr>
        <w:t>过往承接项目</w:t>
      </w:r>
      <w:r>
        <w:rPr>
          <w:rFonts w:hint="eastAsia" w:ascii="仿宋_GB2312" w:eastAsia="仿宋_GB2312"/>
          <w:sz w:val="32"/>
          <w:szCs w:val="32"/>
        </w:rPr>
        <w:t>获得国家级、省级或者市级</w:t>
      </w:r>
      <w:r>
        <w:rPr>
          <w:rFonts w:hint="eastAsia" w:ascii="仿宋_GB2312" w:eastAsia="仿宋_GB2312"/>
          <w:sz w:val="32"/>
          <w:szCs w:val="32"/>
          <w:lang w:eastAsia="zh-CN"/>
        </w:rPr>
        <w:t>知识产权领域</w:t>
      </w:r>
      <w:r>
        <w:rPr>
          <w:rFonts w:hint="eastAsia" w:ascii="仿宋_GB2312" w:eastAsia="仿宋_GB2312"/>
          <w:sz w:val="32"/>
          <w:szCs w:val="32"/>
        </w:rPr>
        <w:t>有关</w:t>
      </w:r>
      <w:r>
        <w:rPr>
          <w:rFonts w:hint="eastAsia" w:ascii="仿宋_GB2312" w:eastAsia="仿宋_GB2312"/>
          <w:sz w:val="32"/>
          <w:szCs w:val="32"/>
          <w:lang w:eastAsia="zh-CN"/>
        </w:rPr>
        <w:t>奖项的</w:t>
      </w:r>
      <w:r>
        <w:rPr>
          <w:rFonts w:hint="eastAsia" w:ascii="仿宋_GB2312" w:eastAsia="仿宋_GB2312"/>
          <w:sz w:val="32"/>
          <w:szCs w:val="32"/>
        </w:rPr>
        <w:t>，</w:t>
      </w:r>
      <w:r>
        <w:rPr>
          <w:rFonts w:hint="eastAsia" w:ascii="仿宋_GB2312" w:eastAsia="仿宋_GB2312"/>
          <w:sz w:val="32"/>
          <w:szCs w:val="32"/>
          <w:lang w:eastAsia="zh-CN"/>
        </w:rPr>
        <w:t>需上传相关证明材料</w:t>
      </w:r>
      <w:r>
        <w:rPr>
          <w:rFonts w:hint="eastAsia" w:ascii="仿宋_GB2312" w:eastAsia="仿宋_GB2312"/>
          <w:sz w:val="32"/>
          <w:szCs w:val="32"/>
        </w:rPr>
        <w:t>提交形式为原件或者加盖申请人公章的复印件的彩色扫描件（pdf格式）</w:t>
      </w:r>
      <w:r>
        <w:rPr>
          <w:rFonts w:hint="eastAsia" w:ascii="仿宋_GB2312" w:eastAsia="仿宋_GB2312"/>
          <w:sz w:val="32"/>
          <w:szCs w:val="32"/>
          <w:lang w:eastAsia="zh-CN"/>
        </w:rPr>
        <w:t>，</w:t>
      </w:r>
      <w:r>
        <w:rPr>
          <w:rFonts w:hint="eastAsia" w:ascii="仿宋_GB2312" w:eastAsia="仿宋_GB2312"/>
          <w:sz w:val="32"/>
          <w:szCs w:val="32"/>
        </w:rPr>
        <w:t>文件名为奖项名称。多份证明材料应合并为一个压缩文件（zip格式）上传</w:t>
      </w:r>
      <w:r>
        <w:rPr>
          <w:rFonts w:hint="eastAsia" w:ascii="仿宋_GB2312" w:eastAsia="仿宋_GB2312"/>
          <w:sz w:val="32"/>
          <w:szCs w:val="32"/>
          <w:lang w:eastAsia="zh-CN"/>
        </w:rPr>
        <w:t>。</w:t>
      </w:r>
      <w:r>
        <w:rPr>
          <w:rFonts w:hint="eastAsia" w:ascii="仿宋_GB2312" w:eastAsia="仿宋_GB2312"/>
          <w:sz w:val="32"/>
          <w:szCs w:val="32"/>
        </w:rPr>
        <w:t>文件应当以申请人名称+项目名称+获奖情况相关证明材料命名，示例：“深圳市***科技有限公司2022年知识产权重大专项资助项目获奖情况相关证明材料”。</w:t>
      </w:r>
    </w:p>
    <w:p>
      <w:pPr>
        <w:numPr>
          <w:ilvl w:val="255"/>
          <w:numId w:val="0"/>
        </w:num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以上第（一）至第（</w:t>
      </w:r>
      <w:r>
        <w:rPr>
          <w:rFonts w:hint="eastAsia" w:ascii="仿宋_GB2312" w:eastAsia="仿宋_GB2312"/>
          <w:sz w:val="32"/>
          <w:szCs w:val="32"/>
          <w:lang w:val="en-US" w:eastAsia="zh-CN"/>
        </w:rPr>
        <w:t>五</w:t>
      </w:r>
      <w:r>
        <w:rPr>
          <w:rFonts w:hint="eastAsia" w:ascii="仿宋_GB2312" w:eastAsia="仿宋_GB2312"/>
          <w:sz w:val="32"/>
          <w:szCs w:val="32"/>
        </w:rPr>
        <w:t>）项全部申请材料应当确保页面文字、公章、签名等实质性内容清晰可辨，各页面主要内容均为正向，不可横置或倒置。</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受理事宜</w:t>
      </w:r>
    </w:p>
    <w:p>
      <w:pPr>
        <w:snapToGrid w:val="0"/>
        <w:spacing w:line="560" w:lineRule="exact"/>
        <w:ind w:firstLine="642" w:firstLineChars="200"/>
        <w:rPr>
          <w:rFonts w:ascii="仿宋_GB2312" w:eastAsia="仿宋_GB2312"/>
          <w:sz w:val="32"/>
          <w:szCs w:val="32"/>
        </w:rPr>
      </w:pPr>
      <w:r>
        <w:rPr>
          <w:rFonts w:hint="eastAsia" w:ascii="楷体_GB2312" w:eastAsia="楷体_GB2312"/>
          <w:b/>
          <w:sz w:val="32"/>
          <w:szCs w:val="32"/>
        </w:rPr>
        <w:t>（一）受理机关：</w:t>
      </w:r>
      <w:r>
        <w:rPr>
          <w:rFonts w:hint="eastAsia" w:ascii="仿宋_GB2312" w:eastAsia="仿宋_GB2312"/>
          <w:sz w:val="32"/>
          <w:szCs w:val="32"/>
        </w:rPr>
        <w:t>深圳市市场监督管理局。</w:t>
      </w:r>
    </w:p>
    <w:p>
      <w:pPr>
        <w:numPr>
          <w:ilvl w:val="255"/>
          <w:numId w:val="0"/>
        </w:numPr>
        <w:snapToGrid w:val="0"/>
        <w:spacing w:line="560" w:lineRule="exact"/>
        <w:ind w:firstLine="642" w:firstLineChars="200"/>
        <w:rPr>
          <w:rFonts w:hint="eastAsia" w:ascii="仿宋_GB2312" w:eastAsia="仿宋_GB2312" w:cs="宋体"/>
          <w:color w:val="000000" w:themeColor="text1"/>
          <w:kern w:val="0"/>
          <w:sz w:val="32"/>
          <w:szCs w:val="32"/>
          <w:lang w:val="en-US" w:eastAsia="zh-CN"/>
          <w14:textFill>
            <w14:solidFill>
              <w14:schemeClr w14:val="tx1"/>
            </w14:solidFill>
          </w14:textFill>
        </w:rPr>
      </w:pPr>
      <w:r>
        <w:rPr>
          <w:rFonts w:hint="eastAsia" w:ascii="楷体_GB2312" w:eastAsia="楷体_GB2312"/>
          <w:b/>
          <w:sz w:val="32"/>
          <w:szCs w:val="32"/>
        </w:rPr>
        <w:t>（二）受理时间：</w:t>
      </w:r>
      <w:r>
        <w:rPr>
          <w:rFonts w:hint="eastAsia" w:ascii="仿宋_GB2312" w:hAnsi="微软雅黑" w:eastAsia="仿宋_GB2312"/>
          <w:color w:val="222222"/>
          <w:sz w:val="32"/>
          <w:szCs w:val="32"/>
          <w:shd w:val="clear" w:color="auto" w:fill="FFFFFF"/>
        </w:rPr>
        <w:t>202</w:t>
      </w:r>
      <w:r>
        <w:rPr>
          <w:rFonts w:hint="eastAsia" w:ascii="仿宋_GB2312" w:hAnsi="微软雅黑" w:eastAsia="仿宋_GB2312"/>
          <w:color w:val="222222"/>
          <w:sz w:val="32"/>
          <w:szCs w:val="32"/>
          <w:shd w:val="clear" w:color="auto" w:fill="FFFFFF"/>
          <w:lang w:val="en-US" w:eastAsia="zh-CN"/>
        </w:rPr>
        <w:t>2</w:t>
      </w:r>
      <w:r>
        <w:rPr>
          <w:rFonts w:hint="eastAsia" w:ascii="仿宋_GB2312" w:hAnsi="微软雅黑" w:eastAsia="仿宋_GB2312"/>
          <w:color w:val="222222"/>
          <w:sz w:val="32"/>
          <w:szCs w:val="32"/>
          <w:shd w:val="clear" w:color="auto" w:fill="FFFFFF"/>
        </w:rPr>
        <w:t>年4月</w:t>
      </w:r>
      <w:r>
        <w:rPr>
          <w:rFonts w:hint="eastAsia" w:ascii="仿宋_GB2312" w:hAnsi="微软雅黑" w:eastAsia="仿宋_GB2312"/>
          <w:color w:val="222222"/>
          <w:sz w:val="32"/>
          <w:szCs w:val="32"/>
          <w:shd w:val="clear" w:color="auto" w:fill="FFFFFF"/>
          <w:lang w:val="en-US" w:eastAsia="zh-CN"/>
        </w:rPr>
        <w:t>2</w:t>
      </w:r>
      <w:r>
        <w:rPr>
          <w:rFonts w:hint="default" w:ascii="仿宋_GB2312" w:hAnsi="微软雅黑" w:eastAsia="仿宋_GB2312"/>
          <w:color w:val="222222"/>
          <w:sz w:val="32"/>
          <w:szCs w:val="32"/>
          <w:shd w:val="clear" w:color="auto" w:fill="FFFFFF"/>
          <w:lang w:val="en" w:eastAsia="zh-CN"/>
        </w:rPr>
        <w:t>9</w:t>
      </w:r>
      <w:r>
        <w:rPr>
          <w:rFonts w:hint="eastAsia" w:ascii="仿宋_GB2312" w:hAnsi="微软雅黑" w:eastAsia="仿宋_GB2312"/>
          <w:color w:val="222222"/>
          <w:sz w:val="32"/>
          <w:szCs w:val="32"/>
          <w:shd w:val="clear" w:color="auto" w:fill="FFFFFF"/>
        </w:rPr>
        <w:t>日</w:t>
      </w:r>
      <w:r>
        <w:rPr>
          <w:rFonts w:hint="eastAsia" w:ascii="仿宋_GB2312" w:hAnsi="微软雅黑" w:eastAsia="仿宋_GB2312"/>
          <w:color w:val="222222"/>
          <w:sz w:val="32"/>
          <w:szCs w:val="32"/>
          <w:shd w:val="clear" w:color="auto" w:fill="FFFFFF"/>
          <w:lang w:val="en-US" w:eastAsia="zh-CN"/>
        </w:rPr>
        <w:t xml:space="preserve"> </w:t>
      </w:r>
      <w:r>
        <w:rPr>
          <w:rFonts w:hint="default" w:ascii="仿宋_GB2312" w:hAnsi="微软雅黑" w:eastAsia="仿宋_GB2312"/>
          <w:color w:val="222222"/>
          <w:sz w:val="32"/>
          <w:szCs w:val="32"/>
          <w:shd w:val="clear" w:color="auto" w:fill="FFFFFF"/>
          <w:lang w:val="en" w:eastAsia="zh-CN"/>
        </w:rPr>
        <w:t>9</w:t>
      </w:r>
      <w:r>
        <w:rPr>
          <w:rFonts w:hint="eastAsia" w:ascii="仿宋_GB2312" w:hAnsi="微软雅黑" w:eastAsia="仿宋_GB2312"/>
          <w:color w:val="222222"/>
          <w:sz w:val="32"/>
          <w:szCs w:val="32"/>
          <w:shd w:val="clear" w:color="auto" w:fill="FFFFFF"/>
          <w:lang w:val="en-US" w:eastAsia="zh-CN"/>
        </w:rPr>
        <w:t>:00--</w:t>
      </w:r>
      <w:r>
        <w:rPr>
          <w:rFonts w:hint="eastAsia" w:ascii="仿宋_GB2312" w:hAnsi="微软雅黑" w:eastAsia="仿宋_GB2312"/>
          <w:color w:val="222222"/>
          <w:sz w:val="32"/>
          <w:szCs w:val="32"/>
          <w:shd w:val="clear" w:color="auto" w:fill="FFFFFF"/>
        </w:rPr>
        <w:t>202</w:t>
      </w:r>
      <w:r>
        <w:rPr>
          <w:rFonts w:hint="eastAsia" w:ascii="仿宋_GB2312" w:hAnsi="微软雅黑" w:eastAsia="仿宋_GB2312"/>
          <w:color w:val="222222"/>
          <w:sz w:val="32"/>
          <w:szCs w:val="32"/>
          <w:shd w:val="clear" w:color="auto" w:fill="FFFFFF"/>
          <w:lang w:val="en-US" w:eastAsia="zh-CN"/>
        </w:rPr>
        <w:t>2</w:t>
      </w:r>
      <w:r>
        <w:rPr>
          <w:rFonts w:hint="eastAsia" w:ascii="仿宋_GB2312" w:hAnsi="微软雅黑" w:eastAsia="仿宋_GB2312"/>
          <w:color w:val="222222"/>
          <w:sz w:val="32"/>
          <w:szCs w:val="32"/>
          <w:shd w:val="clear" w:color="auto" w:fill="FFFFFF"/>
        </w:rPr>
        <w:t>年5月</w:t>
      </w:r>
      <w:r>
        <w:rPr>
          <w:rFonts w:hint="eastAsia" w:ascii="仿宋_GB2312" w:hAnsi="微软雅黑" w:eastAsia="仿宋_GB2312"/>
          <w:color w:val="222222"/>
          <w:sz w:val="32"/>
          <w:szCs w:val="32"/>
          <w:shd w:val="clear" w:color="auto" w:fill="FFFFFF"/>
          <w:lang w:val="en-US" w:eastAsia="zh-CN"/>
        </w:rPr>
        <w:t>1</w:t>
      </w:r>
      <w:r>
        <w:rPr>
          <w:rFonts w:hint="default" w:ascii="仿宋_GB2312" w:hAnsi="微软雅黑" w:eastAsia="仿宋_GB2312"/>
          <w:color w:val="222222"/>
          <w:sz w:val="32"/>
          <w:szCs w:val="32"/>
          <w:shd w:val="clear" w:color="auto" w:fill="FFFFFF"/>
          <w:lang w:val="en" w:eastAsia="zh-CN"/>
        </w:rPr>
        <w:t>6</w:t>
      </w:r>
      <w:r>
        <w:rPr>
          <w:rFonts w:hint="eastAsia" w:ascii="仿宋_GB2312" w:hAnsi="微软雅黑" w:eastAsia="仿宋_GB2312"/>
          <w:color w:val="222222"/>
          <w:sz w:val="32"/>
          <w:szCs w:val="32"/>
          <w:shd w:val="clear" w:color="auto" w:fill="FFFFFF"/>
        </w:rPr>
        <w:t>日</w:t>
      </w:r>
      <w:r>
        <w:rPr>
          <w:rFonts w:hint="eastAsia" w:ascii="仿宋_GB2312" w:hAnsi="微软雅黑" w:eastAsia="仿宋_GB2312"/>
          <w:color w:val="222222"/>
          <w:sz w:val="32"/>
          <w:szCs w:val="32"/>
          <w:shd w:val="clear" w:color="auto" w:fill="FFFFFF"/>
          <w:lang w:val="en-US" w:eastAsia="zh-CN"/>
        </w:rPr>
        <w:t xml:space="preserve"> </w:t>
      </w:r>
      <w:r>
        <w:rPr>
          <w:rFonts w:hint="eastAsia" w:ascii="仿宋_GB2312" w:hAnsi="微软雅黑" w:eastAsia="仿宋_GB2312"/>
          <w:color w:val="222222"/>
          <w:sz w:val="32"/>
          <w:szCs w:val="32"/>
          <w:shd w:val="clear" w:color="auto" w:fill="FFFFFF"/>
        </w:rPr>
        <w:t>18:00</w:t>
      </w:r>
      <w:r>
        <w:rPr>
          <w:rFonts w:hint="eastAsia" w:ascii="仿宋_GB2312" w:hAnsi="微软雅黑" w:eastAsia="仿宋_GB2312"/>
          <w:color w:val="222222"/>
          <w:sz w:val="32"/>
          <w:szCs w:val="32"/>
          <w:shd w:val="clear" w:color="auto" w:fill="FFFFFF"/>
          <w:lang w:eastAsia="zh-CN"/>
        </w:rPr>
        <w:t>。</w:t>
      </w:r>
    </w:p>
    <w:p>
      <w:pPr>
        <w:numPr>
          <w:ilvl w:val="255"/>
          <w:numId w:val="0"/>
        </w:numPr>
        <w:snapToGrid w:val="0"/>
        <w:spacing w:line="560" w:lineRule="exact"/>
        <w:ind w:firstLine="642" w:firstLineChars="200"/>
        <w:rPr>
          <w:rFonts w:ascii="楷体_GB2312" w:eastAsia="楷体_GB2312"/>
          <w:b/>
          <w:sz w:val="32"/>
          <w:szCs w:val="32"/>
        </w:rPr>
      </w:pPr>
      <w:r>
        <w:rPr>
          <w:rFonts w:hint="eastAsia" w:ascii="楷体_GB2312" w:eastAsia="楷体_GB2312"/>
          <w:b/>
          <w:sz w:val="32"/>
          <w:szCs w:val="32"/>
        </w:rPr>
        <w:t>（三）申报方式</w:t>
      </w:r>
    </w:p>
    <w:p>
      <w:pPr>
        <w:numPr>
          <w:ilvl w:val="255"/>
          <w:numId w:val="0"/>
        </w:numPr>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kern w:val="0"/>
          <w:sz w:val="32"/>
          <w:szCs w:val="32"/>
        </w:rPr>
        <w:t>本次资助实行网上在线申报，申报系统网址为： https://amr.sz.gov.cn/mrasgas/sfc-company/#/apply/check-info?itemId=MB2C927393442125181001440300，</w:t>
      </w:r>
      <w:r>
        <w:rPr>
          <w:rFonts w:hint="eastAsia" w:ascii="仿宋_GB2312" w:eastAsia="仿宋_GB2312"/>
          <w:sz w:val="32"/>
          <w:szCs w:val="32"/>
        </w:rPr>
        <w:t>建议使用谷歌、360（极速模式）、火狐等浏览器软件</w:t>
      </w:r>
      <w:r>
        <w:rPr>
          <w:rFonts w:hint="eastAsia" w:ascii="仿宋_GB2312" w:eastAsia="仿宋_GB2312"/>
          <w:sz w:val="32"/>
          <w:szCs w:val="32"/>
          <w:lang w:eastAsia="zh-CN"/>
        </w:rPr>
        <w:t>。</w:t>
      </w:r>
    </w:p>
    <w:p>
      <w:pPr>
        <w:numPr>
          <w:ilvl w:val="255"/>
          <w:numId w:val="0"/>
        </w:numPr>
        <w:snapToGrid w:val="0"/>
        <w:spacing w:line="560" w:lineRule="exact"/>
        <w:ind w:firstLine="640" w:firstLineChars="200"/>
        <w:rPr>
          <w:rFonts w:ascii="仿宋_GB2312" w:hAnsi="Times New Roman" w:eastAsia="仿宋_GB2312"/>
          <w:kern w:val="0"/>
          <w:sz w:val="32"/>
          <w:szCs w:val="32"/>
        </w:rPr>
      </w:pPr>
      <w:r>
        <w:rPr>
          <w:rFonts w:hint="eastAsia" w:ascii="仿宋_GB2312" w:eastAsia="仿宋_GB2312"/>
          <w:sz w:val="32"/>
          <w:szCs w:val="32"/>
        </w:rPr>
        <w:t>登录申报系统后，选择办理情形“知识产权重大专项资助”，阅读并勾选同意《广东省网上办事大厅服务条款》内容，点击“下一步”进入申报；或者，登录</w:t>
      </w:r>
      <w:r>
        <w:rPr>
          <w:rFonts w:hint="eastAsia" w:ascii="仿宋_GB2312" w:eastAsia="仿宋_GB2312"/>
          <w:sz w:val="32"/>
          <w:szCs w:val="32"/>
          <w:lang w:eastAsia="zh-CN"/>
        </w:rPr>
        <w:t>广东政务网</w:t>
      </w:r>
      <w:r>
        <w:rPr>
          <w:rFonts w:hint="eastAsia" w:ascii="仿宋_GB2312" w:eastAsia="仿宋_GB2312"/>
          <w:sz w:val="32"/>
          <w:szCs w:val="32"/>
        </w:rPr>
        <w:t>，在“切换区域”和“部门”分别选择“深圳市”和“市场监督管理局”，点击“公共服务”，找到</w:t>
      </w:r>
      <w:r>
        <w:rPr>
          <w:rFonts w:hint="eastAsia" w:ascii="仿宋_GB2312" w:eastAsia="仿宋_GB2312"/>
          <w:sz w:val="32"/>
          <w:szCs w:val="32"/>
          <w:lang w:eastAsia="zh-CN"/>
        </w:rPr>
        <w:t>“</w:t>
      </w:r>
      <w:r>
        <w:rPr>
          <w:rFonts w:hint="eastAsia" w:ascii="仿宋_GB2312" w:eastAsia="仿宋_GB2312"/>
          <w:sz w:val="32"/>
          <w:szCs w:val="32"/>
        </w:rPr>
        <w:t>知识产权重大专项资助</w:t>
      </w:r>
      <w:r>
        <w:rPr>
          <w:rFonts w:hint="eastAsia" w:ascii="仿宋_GB2312" w:eastAsia="仿宋_GB2312"/>
          <w:sz w:val="32"/>
          <w:szCs w:val="32"/>
          <w:lang w:eastAsia="zh-CN"/>
        </w:rPr>
        <w:t>项目</w:t>
      </w:r>
      <w:r>
        <w:rPr>
          <w:rFonts w:hint="eastAsia" w:ascii="仿宋_GB2312" w:eastAsia="仿宋_GB2312"/>
          <w:sz w:val="32"/>
          <w:szCs w:val="32"/>
        </w:rPr>
        <w:t>申报</w:t>
      </w:r>
      <w:r>
        <w:rPr>
          <w:rFonts w:hint="eastAsia" w:ascii="仿宋_GB2312" w:eastAsia="仿宋_GB2312"/>
          <w:sz w:val="32"/>
          <w:szCs w:val="32"/>
          <w:lang w:eastAsia="zh-CN"/>
        </w:rPr>
        <w:t>”</w:t>
      </w:r>
      <w:r>
        <w:rPr>
          <w:rFonts w:hint="eastAsia" w:ascii="仿宋_GB2312" w:eastAsia="仿宋_GB2312"/>
          <w:sz w:val="32"/>
          <w:szCs w:val="32"/>
        </w:rPr>
        <w:t>，或者直接搜索“知识产权重大专项资助</w:t>
      </w:r>
      <w:r>
        <w:rPr>
          <w:rFonts w:hint="eastAsia" w:ascii="仿宋_GB2312" w:eastAsia="仿宋_GB2312"/>
          <w:sz w:val="32"/>
          <w:szCs w:val="32"/>
          <w:lang w:eastAsia="zh-CN"/>
        </w:rPr>
        <w:t>项目</w:t>
      </w:r>
      <w:r>
        <w:rPr>
          <w:rFonts w:hint="eastAsia" w:ascii="仿宋_GB2312" w:eastAsia="仿宋_GB2312"/>
          <w:sz w:val="32"/>
          <w:szCs w:val="32"/>
        </w:rPr>
        <w:t>申报”，选中后进入申报页面。</w:t>
      </w:r>
      <w:r>
        <w:rPr>
          <w:rFonts w:ascii="仿宋_GB2312" w:hAnsi="Times New Roman" w:eastAsia="仿宋_GB2312"/>
          <w:kern w:val="0"/>
          <w:sz w:val="32"/>
          <w:szCs w:val="32"/>
        </w:rPr>
        <w:t>将本指南第</w:t>
      </w:r>
      <w:r>
        <w:rPr>
          <w:rFonts w:hint="eastAsia" w:ascii="仿宋_GB2312" w:hAnsi="Times New Roman" w:eastAsia="仿宋_GB2312"/>
          <w:kern w:val="0"/>
          <w:sz w:val="32"/>
          <w:szCs w:val="32"/>
          <w:lang w:eastAsia="zh-CN"/>
        </w:rPr>
        <w:t>七</w:t>
      </w:r>
      <w:r>
        <w:rPr>
          <w:rFonts w:ascii="仿宋_GB2312" w:hAnsi="Times New Roman" w:eastAsia="仿宋_GB2312"/>
          <w:kern w:val="0"/>
          <w:sz w:val="32"/>
          <w:szCs w:val="32"/>
        </w:rPr>
        <w:t>条要求的</w:t>
      </w:r>
      <w:r>
        <w:rPr>
          <w:rFonts w:hint="eastAsia" w:ascii="仿宋_GB2312" w:hAnsi="Times New Roman" w:eastAsia="仿宋_GB2312"/>
          <w:kern w:val="0"/>
          <w:sz w:val="32"/>
          <w:szCs w:val="32"/>
        </w:rPr>
        <w:t>全部</w:t>
      </w:r>
      <w:r>
        <w:rPr>
          <w:rFonts w:ascii="仿宋_GB2312" w:hAnsi="Times New Roman" w:eastAsia="仿宋_GB2312"/>
          <w:kern w:val="0"/>
          <w:sz w:val="32"/>
          <w:szCs w:val="32"/>
        </w:rPr>
        <w:t>申</w:t>
      </w:r>
      <w:r>
        <w:rPr>
          <w:rFonts w:hint="eastAsia" w:ascii="仿宋_GB2312" w:hAnsi="Times New Roman" w:eastAsia="仿宋_GB2312"/>
          <w:kern w:val="0"/>
          <w:sz w:val="32"/>
          <w:szCs w:val="32"/>
        </w:rPr>
        <w:t>请</w:t>
      </w:r>
      <w:r>
        <w:rPr>
          <w:rFonts w:ascii="仿宋_GB2312" w:hAnsi="Times New Roman" w:eastAsia="仿宋_GB2312"/>
          <w:kern w:val="0"/>
          <w:sz w:val="32"/>
          <w:szCs w:val="32"/>
        </w:rPr>
        <w:t>材料按照申报系统中的</w:t>
      </w:r>
      <w:r>
        <w:rPr>
          <w:rFonts w:hint="eastAsia" w:ascii="仿宋_GB2312" w:hAnsi="Times New Roman" w:eastAsia="仿宋_GB2312"/>
          <w:kern w:val="0"/>
          <w:sz w:val="32"/>
          <w:szCs w:val="32"/>
        </w:rPr>
        <w:t>有关</w:t>
      </w:r>
      <w:r>
        <w:rPr>
          <w:rFonts w:ascii="仿宋_GB2312" w:hAnsi="Times New Roman" w:eastAsia="仿宋_GB2312"/>
          <w:kern w:val="0"/>
          <w:sz w:val="32"/>
          <w:szCs w:val="32"/>
        </w:rPr>
        <w:t>提示要求</w:t>
      </w:r>
      <w:r>
        <w:rPr>
          <w:rFonts w:hint="eastAsia" w:ascii="仿宋_GB2312" w:hAnsi="Times New Roman" w:eastAsia="仿宋_GB2312"/>
          <w:kern w:val="0"/>
          <w:sz w:val="32"/>
          <w:szCs w:val="32"/>
        </w:rPr>
        <w:t>分别</w:t>
      </w:r>
      <w:r>
        <w:rPr>
          <w:rFonts w:ascii="仿宋_GB2312" w:hAnsi="Times New Roman" w:eastAsia="仿宋_GB2312"/>
          <w:kern w:val="0"/>
          <w:sz w:val="32"/>
          <w:szCs w:val="32"/>
        </w:rPr>
        <w:t>上传。</w:t>
      </w:r>
    </w:p>
    <w:p>
      <w:pPr>
        <w:numPr>
          <w:ilvl w:val="255"/>
          <w:numId w:val="0"/>
        </w:numPr>
        <w:snapToGrid w:val="0"/>
        <w:spacing w:line="560" w:lineRule="exact"/>
        <w:ind w:firstLine="640" w:firstLineChars="200"/>
        <w:rPr>
          <w:rFonts w:ascii="仿宋_GB2312" w:eastAsia="仿宋_GB2312" w:cs="仿宋_GB2312"/>
          <w:kern w:val="0"/>
          <w:sz w:val="32"/>
          <w:szCs w:val="32"/>
        </w:rPr>
      </w:pPr>
      <w:r>
        <w:rPr>
          <w:rFonts w:hint="eastAsia" w:ascii="仿宋_GB2312" w:hAnsi="仿宋_GB2312" w:eastAsia="仿宋_GB2312" w:cs="仿宋_GB2312"/>
          <w:sz w:val="32"/>
          <w:szCs w:val="32"/>
        </w:rPr>
        <w:t>申报系统技术支持电</w:t>
      </w:r>
      <w:r>
        <w:rPr>
          <w:rFonts w:hint="eastAsia" w:ascii="仿宋_GB2312" w:eastAsia="仿宋_GB2312"/>
          <w:sz w:val="32"/>
          <w:szCs w:val="32"/>
        </w:rPr>
        <w:t>话：</w:t>
      </w:r>
      <w:r>
        <w:rPr>
          <w:rFonts w:hint="eastAsia" w:ascii="仿宋_GB2312" w:eastAsia="仿宋_GB2312"/>
          <w:sz w:val="32"/>
          <w:szCs w:val="32"/>
          <w:lang w:val="en-US" w:eastAsia="zh-CN"/>
        </w:rPr>
        <w:t>0755-88670184  13480726201</w:t>
      </w:r>
      <w:r>
        <w:rPr>
          <w:rFonts w:hint="eastAsia" w:ascii="仿宋_GB2312" w:eastAsia="仿宋_GB2312"/>
          <w:sz w:val="32"/>
          <w:szCs w:val="32"/>
        </w:rPr>
        <w:t>。</w:t>
      </w:r>
      <w:r>
        <w:rPr>
          <w:rFonts w:hint="eastAsia" w:ascii="仿宋_GB2312" w:hAnsi="仿宋_GB2312" w:eastAsia="仿宋_GB2312" w:cs="仿宋_GB2312"/>
          <w:sz w:val="32"/>
          <w:szCs w:val="32"/>
        </w:rPr>
        <w:t>申报业务咨询电话：0755-83070173。办公时间：星期一至星期五（法定节假日除外）上午09:00-12:00，下午14:00-18:00。</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cs="仿宋_GB2312"/>
          <w:bCs/>
          <w:sz w:val="32"/>
          <w:szCs w:val="32"/>
        </w:rPr>
        <w:t>决定机关</w:t>
      </w:r>
    </w:p>
    <w:p>
      <w:pPr>
        <w:snapToGrid w:val="0"/>
        <w:spacing w:line="560" w:lineRule="exact"/>
        <w:ind w:firstLine="640" w:firstLineChars="200"/>
        <w:rPr>
          <w:rFonts w:eastAsia="仿宋_GB2312"/>
          <w:sz w:val="32"/>
        </w:rPr>
      </w:pPr>
      <w:r>
        <w:rPr>
          <w:rFonts w:hint="eastAsia" w:eastAsia="仿宋_GB2312"/>
          <w:sz w:val="32"/>
        </w:rPr>
        <w:t>深圳市市场监督管理局</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办理程序与注意事项</w:t>
      </w:r>
    </w:p>
    <w:p>
      <w:pPr>
        <w:pStyle w:val="6"/>
        <w:numPr>
          <w:ilvl w:val="255"/>
          <w:numId w:val="0"/>
        </w:numPr>
        <w:snapToGrid w:val="0"/>
        <w:spacing w:line="560" w:lineRule="exact"/>
        <w:ind w:firstLine="642" w:firstLineChars="200"/>
        <w:rPr>
          <w:rFonts w:ascii="楷体_GB2312" w:eastAsia="楷体_GB2312"/>
          <w:sz w:val="32"/>
        </w:rPr>
      </w:pPr>
      <w:r>
        <w:rPr>
          <w:rFonts w:hint="eastAsia" w:ascii="楷体_GB2312" w:eastAsia="楷体_GB2312"/>
          <w:b/>
          <w:sz w:val="32"/>
        </w:rPr>
        <w:t>（一）办理程序</w:t>
      </w:r>
    </w:p>
    <w:p>
      <w:pPr>
        <w:numPr>
          <w:ilvl w:val="255"/>
          <w:numId w:val="0"/>
        </w:numPr>
        <w:snapToGrid w:val="0"/>
        <w:spacing w:line="560" w:lineRule="exact"/>
        <w:ind w:firstLine="640" w:firstLineChars="200"/>
        <w:rPr>
          <w:rFonts w:ascii="仿宋_GB2312" w:eastAsia="仿宋_GB2312"/>
          <w:sz w:val="32"/>
        </w:rPr>
      </w:pPr>
      <w:r>
        <w:rPr>
          <w:rFonts w:hint="eastAsia" w:ascii="仿宋_GB2312" w:eastAsia="仿宋_GB2312"/>
          <w:sz w:val="32"/>
        </w:rPr>
        <w:t>市市场监管局发布年度申报指南（通知）——申请人网上申报（通过申报系统在线提交电子申请材料）——市市场监管局受理初审（含可能发生的补正程序）——专家评审（含必要的实地考察评价）——协同相关部门核对数据、核查诚信情况——资助方案社会公示（</w:t>
      </w:r>
      <w:r>
        <w:rPr>
          <w:rFonts w:ascii="仿宋_GB2312" w:eastAsia="仿宋_GB2312"/>
          <w:sz w:val="32"/>
        </w:rPr>
        <w:t>5个工作日）</w:t>
      </w:r>
      <w:r>
        <w:rPr>
          <w:rFonts w:hint="eastAsia" w:ascii="仿宋_GB2312" w:eastAsia="仿宋_GB2312"/>
          <w:sz w:val="32"/>
        </w:rPr>
        <w:t>——市市场监管局审定——财政资金预算申请和资金拨付。</w:t>
      </w:r>
    </w:p>
    <w:p>
      <w:pPr>
        <w:pStyle w:val="6"/>
        <w:numPr>
          <w:ilvl w:val="255"/>
          <w:numId w:val="0"/>
        </w:numPr>
        <w:snapToGrid w:val="0"/>
        <w:spacing w:line="560" w:lineRule="exact"/>
        <w:ind w:firstLine="642" w:firstLineChars="200"/>
        <w:rPr>
          <w:rFonts w:ascii="楷体_GB2312" w:eastAsia="楷体_GB2312"/>
          <w:sz w:val="32"/>
        </w:rPr>
      </w:pPr>
      <w:r>
        <w:rPr>
          <w:rFonts w:hint="eastAsia" w:ascii="楷体_GB2312" w:eastAsia="楷体_GB2312"/>
          <w:b/>
          <w:sz w:val="32"/>
        </w:rPr>
        <w:t>（二）注意事项</w:t>
      </w:r>
    </w:p>
    <w:p>
      <w:pPr>
        <w:pStyle w:val="2"/>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1．严格按照申报系统有关提示进行填报。申请人需通过广东省政务服务网进行申报，</w:t>
      </w:r>
      <w:r>
        <w:rPr>
          <w:rFonts w:ascii="仿宋_GB2312" w:eastAsia="仿宋_GB2312"/>
          <w:b w:val="0"/>
          <w:sz w:val="32"/>
          <w:szCs w:val="32"/>
        </w:rPr>
        <w:t>账户等级须达到五级（原L3级别）核验方可进行申报</w:t>
      </w:r>
      <w:r>
        <w:rPr>
          <w:rFonts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255"/>
          <w:numId w:val="0"/>
        </w:num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市场监管局</w:t>
      </w:r>
      <w:r>
        <w:rPr>
          <w:rFonts w:ascii="仿宋_GB2312" w:hAnsi="仿宋_GB2312" w:eastAsia="仿宋_GB2312" w:cs="仿宋_GB2312"/>
          <w:sz w:val="32"/>
          <w:szCs w:val="32"/>
        </w:rPr>
        <w:t>在对资助申请材料进行受理和初审过程中，对于申请材料不齐全、不完善或者不符合规定要求的，将通知申请人限期补正。申请人材料补正须在指定时</w:t>
      </w:r>
      <w:r>
        <w:rPr>
          <w:rFonts w:hint="eastAsia" w:ascii="仿宋_GB2312" w:hAnsi="仿宋_GB2312" w:eastAsia="仿宋_GB2312" w:cs="仿宋_GB2312"/>
          <w:sz w:val="32"/>
          <w:szCs w:val="32"/>
        </w:rPr>
        <w:t>限</w:t>
      </w:r>
      <w:r>
        <w:rPr>
          <w:rFonts w:ascii="仿宋_GB2312" w:hAnsi="仿宋_GB2312" w:eastAsia="仿宋_GB2312" w:cs="仿宋_GB2312"/>
          <w:sz w:val="32"/>
          <w:szCs w:val="32"/>
        </w:rPr>
        <w:t>内严格按照审核提示要求</w:t>
      </w:r>
      <w:r>
        <w:rPr>
          <w:rFonts w:hint="eastAsia" w:ascii="仿宋_GB2312" w:hAnsi="仿宋_GB2312" w:eastAsia="仿宋_GB2312" w:cs="仿宋_GB2312"/>
          <w:sz w:val="32"/>
          <w:szCs w:val="32"/>
        </w:rPr>
        <w:t>完成</w:t>
      </w:r>
      <w:r>
        <w:rPr>
          <w:rFonts w:ascii="仿宋_GB2312" w:hAnsi="仿宋_GB2312" w:eastAsia="仿宋_GB2312" w:cs="仿宋_GB2312"/>
          <w:sz w:val="32"/>
          <w:szCs w:val="32"/>
        </w:rPr>
        <w:t>，通过申报系统上传有关证明材料。</w:t>
      </w:r>
      <w:r>
        <w:rPr>
          <w:rFonts w:ascii="仿宋_GB2312" w:eastAsia="仿宋_GB2312"/>
          <w:sz w:val="32"/>
          <w:szCs w:val="32"/>
        </w:rPr>
        <w:t>申请人</w:t>
      </w:r>
      <w:r>
        <w:rPr>
          <w:rFonts w:ascii="仿宋_GB2312" w:hAnsi="仿宋_GB2312" w:eastAsia="仿宋_GB2312" w:cs="仿宋_GB2312"/>
          <w:sz w:val="32"/>
          <w:szCs w:val="32"/>
        </w:rPr>
        <w:t>未在指定时</w:t>
      </w:r>
      <w:r>
        <w:rPr>
          <w:rFonts w:hint="eastAsia" w:ascii="仿宋_GB2312" w:hAnsi="仿宋_GB2312" w:eastAsia="仿宋_GB2312" w:cs="仿宋_GB2312"/>
          <w:sz w:val="32"/>
          <w:szCs w:val="32"/>
        </w:rPr>
        <w:t>限</w:t>
      </w:r>
      <w:r>
        <w:rPr>
          <w:rFonts w:ascii="仿宋_GB2312" w:hAnsi="仿宋_GB2312" w:eastAsia="仿宋_GB2312" w:cs="仿宋_GB2312"/>
          <w:sz w:val="32"/>
          <w:szCs w:val="32"/>
        </w:rPr>
        <w:t>内</w:t>
      </w:r>
      <w:r>
        <w:rPr>
          <w:rFonts w:hint="eastAsia" w:ascii="仿宋_GB2312" w:hAnsi="仿宋_GB2312" w:eastAsia="仿宋_GB2312" w:cs="仿宋_GB2312"/>
          <w:sz w:val="32"/>
          <w:szCs w:val="32"/>
        </w:rPr>
        <w:t>按要求</w:t>
      </w:r>
      <w:r>
        <w:rPr>
          <w:rFonts w:ascii="仿宋_GB2312" w:hAnsi="仿宋_GB2312" w:eastAsia="仿宋_GB2312" w:cs="仿宋_GB2312"/>
          <w:sz w:val="32"/>
          <w:szCs w:val="32"/>
        </w:rPr>
        <w:t>完成补正的，视为放弃申请。</w:t>
      </w:r>
    </w:p>
    <w:p>
      <w:pPr>
        <w:numPr>
          <w:ilvl w:val="255"/>
          <w:numId w:val="0"/>
        </w:numPr>
        <w:snapToGrid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3．</w:t>
      </w:r>
      <w:r>
        <w:rPr>
          <w:rFonts w:ascii="仿宋_GB2312" w:eastAsia="仿宋_GB2312"/>
          <w:sz w:val="32"/>
          <w:szCs w:val="32"/>
        </w:rPr>
        <w:t>申请人提交资助申请后，可通过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255"/>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本</w:t>
      </w:r>
      <w:r>
        <w:rPr>
          <w:rFonts w:hint="eastAsia" w:ascii="仿宋_GB2312" w:eastAsia="仿宋_GB2312"/>
          <w:sz w:val="32"/>
          <w:szCs w:val="32"/>
        </w:rPr>
        <w:t>资助专项资金的发放时间将根据市财政预算具体规划而定，届时将另行通知办理领款手续，请按通知要求办理。</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合规提示</w:t>
      </w:r>
    </w:p>
    <w:p>
      <w:pPr>
        <w:pStyle w:val="2"/>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rPr>
        <w:t>《深圳市市场监督管理局知识产权领域专项资金操作规程》第三十四条规定：申请人应对提交的申请材料真实性、合法性、有效性负责。申请人利用虚假材料或其他不正当行为骗取、套取、虚报、冒领、截留、挪用专项资金或者违反其它财务纪律的，按照有关规定处理；情节严重的，依照国家相关法律、法规移交有关部门处理。</w:t>
      </w:r>
    </w:p>
    <w:p>
      <w:pPr>
        <w:pStyle w:val="2"/>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rPr>
        <w:t>《深圳市市场监督管理局知识产权领域专项资金操作规程》第三十五条规定：受委托的第三方审计机构或专业机构在审计或核验过程中，存在弄虚作假、隐瞒事实真相或与受资助单位串通作弊并出具相关报告的，按照有关规定追究责任。</w:t>
      </w:r>
    </w:p>
    <w:p>
      <w:pPr>
        <w:pStyle w:val="2"/>
        <w:snapToGrid w:val="0"/>
        <w:spacing w:before="0" w:beforeAutospacing="0" w:after="0" w:afterAutospacing="0" w:line="560" w:lineRule="exact"/>
        <w:ind w:firstLine="640" w:firstLineChars="200"/>
        <w:jc w:val="both"/>
        <w:rPr>
          <w:rFonts w:hint="default"/>
        </w:rPr>
      </w:pPr>
      <w:r>
        <w:rPr>
          <w:rFonts w:ascii="仿宋_GB2312" w:eastAsia="仿宋_GB2312"/>
          <w:b w:val="0"/>
          <w:sz w:val="32"/>
          <w:szCs w:val="32"/>
        </w:rPr>
        <w:t>（三）根据上述规定，申请人申请资助时必须作出合规承诺（在申报系统中操作），否则不予受理。</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年审或年检</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无年审、年检。</w:t>
      </w:r>
    </w:p>
    <w:p>
      <w:pPr>
        <w:snapToGrid w:val="0"/>
        <w:spacing w:line="560" w:lineRule="exact"/>
        <w:ind w:firstLine="640" w:firstLineChars="200"/>
        <w:jc w:val="left"/>
        <w:rPr>
          <w:rFonts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年度深圳市知识产权重大专项资助项目清单</w:t>
      </w:r>
    </w:p>
    <w:p>
      <w:pPr>
        <w:spacing w:line="560" w:lineRule="exact"/>
        <w:jc w:val="right"/>
        <w:rPr>
          <w:rFonts w:ascii="仿宋_GB2312" w:eastAsia="仿宋_GB2312"/>
          <w:sz w:val="28"/>
          <w:szCs w:val="28"/>
        </w:rPr>
      </w:pPr>
      <w:r>
        <w:rPr>
          <w:rFonts w:hint="eastAsia" w:ascii="仿宋_GB2312" w:eastAsia="仿宋_GB2312"/>
          <w:sz w:val="28"/>
          <w:szCs w:val="28"/>
        </w:rPr>
        <w:t>单位：万元</w:t>
      </w:r>
    </w:p>
    <w:tbl>
      <w:tblPr>
        <w:tblStyle w:val="4"/>
        <w:tblW w:w="14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088"/>
        <w:gridCol w:w="2550"/>
        <w:gridCol w:w="3225"/>
        <w:gridCol w:w="4335"/>
        <w:gridCol w:w="1200"/>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pPr>
              <w:spacing w:line="560" w:lineRule="exact"/>
              <w:jc w:val="center"/>
              <w:rPr>
                <w:rFonts w:ascii="仿宋_GB2312" w:eastAsia="仿宋_GB2312"/>
                <w:b/>
                <w:sz w:val="32"/>
                <w:szCs w:val="32"/>
              </w:rPr>
            </w:pPr>
            <w:r>
              <w:rPr>
                <w:rFonts w:hint="eastAsia" w:ascii="仿宋_GB2312" w:eastAsia="仿宋_GB2312"/>
                <w:b/>
                <w:sz w:val="32"/>
                <w:szCs w:val="32"/>
              </w:rPr>
              <w:t>序号</w:t>
            </w:r>
          </w:p>
        </w:tc>
        <w:tc>
          <w:tcPr>
            <w:tcW w:w="1088" w:type="dxa"/>
          </w:tcPr>
          <w:p>
            <w:pPr>
              <w:spacing w:line="560" w:lineRule="exact"/>
              <w:jc w:val="center"/>
              <w:rPr>
                <w:rFonts w:ascii="仿宋_GB2312" w:eastAsia="仿宋_GB2312"/>
                <w:b/>
                <w:sz w:val="32"/>
                <w:szCs w:val="32"/>
              </w:rPr>
            </w:pPr>
            <w:r>
              <w:rPr>
                <w:rFonts w:hint="eastAsia" w:ascii="仿宋_GB2312" w:eastAsia="仿宋_GB2312"/>
                <w:b/>
                <w:sz w:val="32"/>
                <w:szCs w:val="32"/>
              </w:rPr>
              <w:t>项目名称</w:t>
            </w:r>
          </w:p>
        </w:tc>
        <w:tc>
          <w:tcPr>
            <w:tcW w:w="2550" w:type="dxa"/>
          </w:tcPr>
          <w:p>
            <w:pPr>
              <w:spacing w:line="560" w:lineRule="exact"/>
              <w:jc w:val="center"/>
              <w:rPr>
                <w:rFonts w:ascii="仿宋_GB2312" w:eastAsia="仿宋_GB2312"/>
                <w:b/>
                <w:sz w:val="32"/>
                <w:szCs w:val="32"/>
              </w:rPr>
            </w:pPr>
            <w:r>
              <w:rPr>
                <w:rFonts w:hint="eastAsia" w:ascii="仿宋_GB2312" w:eastAsia="仿宋_GB2312"/>
                <w:b/>
                <w:sz w:val="32"/>
                <w:szCs w:val="32"/>
              </w:rPr>
              <w:t>主要内容</w:t>
            </w:r>
          </w:p>
        </w:tc>
        <w:tc>
          <w:tcPr>
            <w:tcW w:w="3225" w:type="dxa"/>
          </w:tcPr>
          <w:p>
            <w:pPr>
              <w:spacing w:line="560" w:lineRule="exact"/>
              <w:jc w:val="center"/>
              <w:rPr>
                <w:rFonts w:hint="eastAsia" w:ascii="仿宋_GB2312" w:eastAsia="仿宋_GB2312"/>
                <w:b/>
                <w:sz w:val="32"/>
                <w:szCs w:val="32"/>
                <w:lang w:eastAsia="zh-CN"/>
              </w:rPr>
            </w:pPr>
            <w:r>
              <w:rPr>
                <w:rFonts w:hint="eastAsia" w:ascii="仿宋_GB2312" w:eastAsia="仿宋_GB2312"/>
                <w:b/>
                <w:sz w:val="32"/>
                <w:szCs w:val="32"/>
              </w:rPr>
              <w:t>上级文件</w:t>
            </w:r>
            <w:r>
              <w:rPr>
                <w:rFonts w:hint="eastAsia" w:ascii="仿宋_GB2312" w:eastAsia="仿宋_GB2312"/>
                <w:b/>
                <w:sz w:val="32"/>
                <w:szCs w:val="32"/>
                <w:lang w:eastAsia="zh-CN"/>
              </w:rPr>
              <w:t>名称</w:t>
            </w:r>
          </w:p>
        </w:tc>
        <w:tc>
          <w:tcPr>
            <w:tcW w:w="4335" w:type="dxa"/>
          </w:tcPr>
          <w:p>
            <w:pPr>
              <w:spacing w:line="560" w:lineRule="exact"/>
              <w:jc w:val="center"/>
              <w:rPr>
                <w:rFonts w:hint="eastAsia" w:ascii="仿宋_GB2312" w:eastAsia="仿宋_GB2312"/>
                <w:b/>
                <w:sz w:val="32"/>
                <w:szCs w:val="32"/>
                <w:lang w:eastAsia="zh-CN"/>
              </w:rPr>
            </w:pPr>
            <w:r>
              <w:rPr>
                <w:rFonts w:hint="eastAsia" w:ascii="仿宋_GB2312" w:eastAsia="仿宋_GB2312"/>
                <w:b/>
                <w:sz w:val="32"/>
                <w:szCs w:val="32"/>
                <w:lang w:eastAsia="zh-CN"/>
              </w:rPr>
              <w:t>文件要求具体表述</w:t>
            </w:r>
          </w:p>
        </w:tc>
        <w:tc>
          <w:tcPr>
            <w:tcW w:w="1200" w:type="dxa"/>
          </w:tcPr>
          <w:p>
            <w:pPr>
              <w:spacing w:line="560" w:lineRule="exact"/>
              <w:jc w:val="center"/>
              <w:rPr>
                <w:rFonts w:ascii="仿宋_GB2312" w:eastAsia="仿宋_GB2312"/>
                <w:b/>
                <w:sz w:val="32"/>
                <w:szCs w:val="32"/>
              </w:rPr>
            </w:pPr>
            <w:r>
              <w:rPr>
                <w:rFonts w:hint="eastAsia" w:ascii="仿宋_GB2312" w:eastAsia="仿宋_GB2312"/>
                <w:b/>
                <w:sz w:val="32"/>
                <w:szCs w:val="32"/>
              </w:rPr>
              <w:t>实施周期</w:t>
            </w:r>
          </w:p>
        </w:tc>
        <w:tc>
          <w:tcPr>
            <w:tcW w:w="1045" w:type="dxa"/>
          </w:tcPr>
          <w:p>
            <w:pPr>
              <w:spacing w:line="560" w:lineRule="exact"/>
              <w:jc w:val="center"/>
              <w:rPr>
                <w:rFonts w:ascii="仿宋_GB2312" w:eastAsia="仿宋_GB2312"/>
                <w:b/>
                <w:sz w:val="32"/>
                <w:szCs w:val="32"/>
              </w:rPr>
            </w:pPr>
            <w:r>
              <w:rPr>
                <w:rFonts w:hint="eastAsia" w:ascii="仿宋_GB2312" w:eastAsia="仿宋_GB2312"/>
                <w:b/>
                <w:sz w:val="32"/>
                <w:szCs w:val="32"/>
              </w:rPr>
              <w:t>经费测算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681" w:type="dxa"/>
            <w:vMerge w:val="restart"/>
            <w:vAlign w:val="center"/>
          </w:tcPr>
          <w:p>
            <w:pPr>
              <w:numPr>
                <w:ilvl w:val="0"/>
                <w:numId w:val="0"/>
              </w:numPr>
              <w:spacing w:line="560" w:lineRule="exact"/>
              <w:jc w:val="both"/>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1</w:t>
            </w:r>
          </w:p>
        </w:tc>
        <w:tc>
          <w:tcPr>
            <w:tcW w:w="1088" w:type="dxa"/>
            <w:vMerge w:val="restart"/>
            <w:vAlign w:val="center"/>
          </w:tcPr>
          <w:p>
            <w:pPr>
              <w:numPr>
                <w:ilvl w:val="0"/>
                <w:numId w:val="0"/>
              </w:numPr>
              <w:spacing w:line="560" w:lineRule="exact"/>
              <w:jc w:val="both"/>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专利代理机构全息画像研究及系统建设项目</w:t>
            </w:r>
          </w:p>
        </w:tc>
        <w:tc>
          <w:tcPr>
            <w:tcW w:w="2550" w:type="dxa"/>
            <w:vMerge w:val="restart"/>
            <w:vAlign w:val="center"/>
          </w:tcPr>
          <w:p>
            <w:pPr>
              <w:numPr>
                <w:ilvl w:val="0"/>
                <w:numId w:val="0"/>
              </w:numPr>
              <w:spacing w:line="560" w:lineRule="exact"/>
              <w:jc w:val="both"/>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开展知识产权代理机构全息画像系统的行业需求调研；研究专利代理机构全息画像指标体系，搭建模型；形成科学的系统建设方案；建设专利代理机构全息画像系统，为专利代理机构的日常管理提供支持。</w:t>
            </w:r>
          </w:p>
        </w:tc>
        <w:tc>
          <w:tcPr>
            <w:tcW w:w="3225" w:type="dxa"/>
            <w:vMerge w:val="restart"/>
            <w:vAlign w:val="center"/>
          </w:tcPr>
          <w:p>
            <w:pPr>
              <w:numPr>
                <w:ilvl w:val="0"/>
                <w:numId w:val="0"/>
              </w:numPr>
              <w:spacing w:line="560" w:lineRule="exact"/>
              <w:jc w:val="both"/>
              <w:rPr>
                <w:rFonts w:hint="eastAsia" w:ascii="仿宋" w:hAnsi="仿宋" w:eastAsia="仿宋"/>
                <w:sz w:val="24"/>
                <w:szCs w:val="28"/>
                <w:lang w:eastAsia="zh-CN"/>
              </w:rPr>
            </w:pPr>
            <w:r>
              <w:rPr>
                <w:rFonts w:hint="eastAsia" w:ascii="仿宋" w:hAnsi="仿宋" w:eastAsia="仿宋" w:cs="Times New Roman"/>
                <w:kern w:val="2"/>
                <w:sz w:val="24"/>
                <w:szCs w:val="28"/>
                <w:lang w:val="en-US" w:eastAsia="zh-CN" w:bidi="ar-SA"/>
              </w:rPr>
              <w:t>1.</w:t>
            </w:r>
            <w:r>
              <w:rPr>
                <w:rFonts w:hint="eastAsia" w:ascii="仿宋" w:hAnsi="仿宋" w:eastAsia="仿宋"/>
                <w:sz w:val="24"/>
                <w:szCs w:val="28"/>
              </w:rPr>
              <w:t>中共中央国务院印发的《知识产权强国建设纲要（2021-2035年）》</w:t>
            </w:r>
            <w:r>
              <w:rPr>
                <w:rFonts w:hint="eastAsia" w:ascii="仿宋" w:hAnsi="仿宋" w:eastAsia="仿宋"/>
                <w:sz w:val="24"/>
                <w:szCs w:val="28"/>
                <w:lang w:eastAsia="zh-CN"/>
              </w:rPr>
              <w:t>；</w:t>
            </w:r>
          </w:p>
          <w:p>
            <w:pPr>
              <w:numPr>
                <w:ilvl w:val="0"/>
                <w:numId w:val="0"/>
              </w:numPr>
              <w:spacing w:line="560" w:lineRule="exact"/>
              <w:jc w:val="both"/>
              <w:rPr>
                <w:rFonts w:hint="eastAsia" w:ascii="仿宋" w:hAnsi="仿宋" w:eastAsia="仿宋"/>
                <w:sz w:val="24"/>
                <w:szCs w:val="28"/>
                <w:lang w:eastAsia="zh-CN"/>
              </w:rPr>
            </w:pPr>
            <w:r>
              <w:rPr>
                <w:rFonts w:hint="eastAsia" w:ascii="仿宋" w:hAnsi="仿宋" w:eastAsia="仿宋"/>
                <w:sz w:val="24"/>
                <w:szCs w:val="28"/>
                <w:lang w:val="en-US" w:eastAsia="zh-CN"/>
              </w:rPr>
              <w:t>2.</w:t>
            </w:r>
            <w:r>
              <w:rPr>
                <w:rFonts w:hint="eastAsia" w:ascii="仿宋" w:hAnsi="仿宋" w:eastAsia="仿宋"/>
                <w:sz w:val="24"/>
                <w:szCs w:val="28"/>
              </w:rPr>
              <w:t>《国务院关于开展营商环境创新试点工作的意见》（国发〔2021〕24号）</w:t>
            </w:r>
            <w:r>
              <w:rPr>
                <w:rFonts w:hint="eastAsia" w:ascii="仿宋" w:hAnsi="仿宋" w:eastAsia="仿宋"/>
                <w:sz w:val="24"/>
                <w:szCs w:val="28"/>
                <w:lang w:eastAsia="zh-CN"/>
              </w:rPr>
              <w:t>；</w:t>
            </w:r>
          </w:p>
          <w:p>
            <w:pPr>
              <w:numPr>
                <w:ilvl w:val="0"/>
                <w:numId w:val="0"/>
              </w:numPr>
              <w:spacing w:line="560" w:lineRule="exact"/>
              <w:jc w:val="both"/>
              <w:rPr>
                <w:rFonts w:hint="eastAsia" w:ascii="仿宋" w:hAnsi="仿宋" w:eastAsia="仿宋"/>
                <w:sz w:val="24"/>
                <w:szCs w:val="28"/>
                <w:lang w:val="en-US" w:eastAsia="zh-CN"/>
              </w:rPr>
            </w:pPr>
            <w:r>
              <w:rPr>
                <w:rFonts w:hint="eastAsia" w:ascii="仿宋" w:hAnsi="仿宋" w:eastAsia="仿宋"/>
                <w:sz w:val="24"/>
                <w:szCs w:val="28"/>
                <w:lang w:val="en-US" w:eastAsia="zh-CN"/>
              </w:rPr>
              <w:t>3.</w:t>
            </w:r>
            <w:r>
              <w:rPr>
                <w:rFonts w:hint="eastAsia" w:ascii="仿宋" w:hAnsi="仿宋" w:eastAsia="仿宋"/>
                <w:sz w:val="24"/>
                <w:szCs w:val="28"/>
              </w:rPr>
              <w:t>《国家知识产权局关于持续深化知识产权代理行业“蓝天”专项整治行动的通知》（国知发运函字〔2022〕46号）</w:t>
            </w:r>
          </w:p>
        </w:tc>
        <w:tc>
          <w:tcPr>
            <w:tcW w:w="4335" w:type="dxa"/>
            <w:vAlign w:val="center"/>
          </w:tcPr>
          <w:p>
            <w:pPr>
              <w:numPr>
                <w:ilvl w:val="0"/>
                <w:numId w:val="0"/>
              </w:numPr>
              <w:spacing w:line="560" w:lineRule="exact"/>
              <w:jc w:val="both"/>
              <w:rPr>
                <w:rFonts w:hint="eastAsia" w:ascii="仿宋" w:hAnsi="仿宋" w:eastAsia="仿宋" w:cs="Times New Roman"/>
                <w:kern w:val="2"/>
                <w:sz w:val="24"/>
                <w:szCs w:val="28"/>
                <w:lang w:val="en-US" w:eastAsia="zh-CN" w:bidi="ar-SA"/>
              </w:rPr>
            </w:pPr>
            <w:r>
              <w:rPr>
                <w:rFonts w:hint="eastAsia" w:ascii="仿宋" w:hAnsi="仿宋" w:eastAsia="仿宋"/>
                <w:sz w:val="24"/>
                <w:szCs w:val="28"/>
                <w:lang w:val="en-US" w:eastAsia="zh-CN"/>
              </w:rPr>
              <w:t>1.</w:t>
            </w:r>
            <w:r>
              <w:rPr>
                <w:rFonts w:hint="eastAsia" w:ascii="仿宋" w:hAnsi="仿宋" w:eastAsia="仿宋"/>
                <w:sz w:val="24"/>
                <w:szCs w:val="28"/>
              </w:rPr>
              <w:t>中共中央国务院印发的《知识产权强国建设纲要（2021-2035年）》第（十三）项“建立规范有序、充满活力的市场化运营机制”部分提出，“培育国际化、市场化、专业化知识产权服务机构，开展知识产权服务业分级分类评价。”第（十六）项“建立数据标准、资源整合、利用高效的信息服务模式”部分提出，“加强知识产权数据标准制定和数据资源供给，建立市场化、社会化的信息加工和服务机制。”</w:t>
            </w:r>
          </w:p>
        </w:tc>
        <w:tc>
          <w:tcPr>
            <w:tcW w:w="1200" w:type="dxa"/>
            <w:vMerge w:val="restart"/>
            <w:vAlign w:val="center"/>
          </w:tcPr>
          <w:p>
            <w:pPr>
              <w:numPr>
                <w:ilvl w:val="0"/>
                <w:numId w:val="0"/>
              </w:numPr>
              <w:spacing w:line="560" w:lineRule="exact"/>
              <w:jc w:val="both"/>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合同签订之日起至2022年11月30日</w:t>
            </w:r>
          </w:p>
        </w:tc>
        <w:tc>
          <w:tcPr>
            <w:tcW w:w="1045" w:type="dxa"/>
            <w:vMerge w:val="restart"/>
            <w:vAlign w:val="center"/>
          </w:tcPr>
          <w:p>
            <w:pPr>
              <w:numPr>
                <w:ilvl w:val="0"/>
                <w:numId w:val="0"/>
              </w:numPr>
              <w:spacing w:line="560" w:lineRule="exact"/>
              <w:jc w:val="both"/>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681" w:type="dxa"/>
            <w:vMerge w:val="continue"/>
            <w:vAlign w:val="center"/>
          </w:tcPr>
          <w:p>
            <w:pPr>
              <w:spacing w:line="560" w:lineRule="exact"/>
              <w:jc w:val="both"/>
            </w:pPr>
          </w:p>
        </w:tc>
        <w:tc>
          <w:tcPr>
            <w:tcW w:w="1088" w:type="dxa"/>
            <w:vMerge w:val="continue"/>
            <w:vAlign w:val="center"/>
          </w:tcPr>
          <w:p>
            <w:pPr>
              <w:spacing w:line="560" w:lineRule="exact"/>
              <w:jc w:val="both"/>
            </w:pPr>
          </w:p>
        </w:tc>
        <w:tc>
          <w:tcPr>
            <w:tcW w:w="2550" w:type="dxa"/>
            <w:vMerge w:val="continue"/>
            <w:vAlign w:val="center"/>
          </w:tcPr>
          <w:p>
            <w:pPr>
              <w:spacing w:line="560" w:lineRule="exact"/>
              <w:jc w:val="both"/>
            </w:pPr>
          </w:p>
        </w:tc>
        <w:tc>
          <w:tcPr>
            <w:tcW w:w="3225" w:type="dxa"/>
            <w:vMerge w:val="continue"/>
            <w:vAlign w:val="center"/>
          </w:tcPr>
          <w:p>
            <w:pPr>
              <w:spacing w:line="560" w:lineRule="exact"/>
              <w:jc w:val="both"/>
            </w:pPr>
          </w:p>
        </w:tc>
        <w:tc>
          <w:tcPr>
            <w:tcW w:w="4335" w:type="dxa"/>
            <w:vAlign w:val="center"/>
          </w:tcPr>
          <w:p>
            <w:pPr>
              <w:numPr>
                <w:ilvl w:val="0"/>
                <w:numId w:val="0"/>
              </w:numPr>
              <w:spacing w:line="560" w:lineRule="exact"/>
              <w:jc w:val="both"/>
              <w:rPr>
                <w:rFonts w:hint="eastAsia" w:ascii="仿宋" w:hAnsi="仿宋" w:eastAsia="仿宋" w:cs="Times New Roman"/>
                <w:kern w:val="2"/>
                <w:sz w:val="24"/>
                <w:szCs w:val="28"/>
                <w:lang w:val="en-US" w:eastAsia="zh-CN" w:bidi="ar-SA"/>
              </w:rPr>
            </w:pPr>
            <w:r>
              <w:rPr>
                <w:rFonts w:hint="eastAsia" w:ascii="仿宋" w:hAnsi="仿宋" w:eastAsia="仿宋"/>
                <w:sz w:val="24"/>
                <w:szCs w:val="28"/>
                <w:lang w:val="en-US" w:eastAsia="zh-CN"/>
              </w:rPr>
              <w:t>2.</w:t>
            </w:r>
            <w:r>
              <w:rPr>
                <w:rFonts w:hint="eastAsia" w:ascii="仿宋" w:hAnsi="仿宋" w:eastAsia="仿宋"/>
                <w:sz w:val="24"/>
                <w:szCs w:val="28"/>
              </w:rPr>
              <w:t>《国务院关于开展营商环境创新试点工作的意见》（国发〔2021〕24号）第75项任务提出，强化对专利代理机构的监管，优化专利代理监管机制。《深圳市人民政府关于印发市建设营商环境创新试点城市实施方案的通知》（深府〔2022〕13号）第21项任务具体提出，“探索构建专利代理机构画像模型及其指标体系，强化专利代理机构日常监管。”</w:t>
            </w:r>
          </w:p>
        </w:tc>
        <w:tc>
          <w:tcPr>
            <w:tcW w:w="1200" w:type="dxa"/>
            <w:vMerge w:val="continue"/>
            <w:vAlign w:val="center"/>
          </w:tcPr>
          <w:p>
            <w:pPr>
              <w:spacing w:line="560" w:lineRule="exact"/>
              <w:jc w:val="both"/>
              <w:rPr>
                <w:rFonts w:hint="eastAsia" w:ascii="仿宋" w:hAnsi="仿宋" w:eastAsia="仿宋" w:cs="Times New Roman"/>
                <w:kern w:val="2"/>
                <w:sz w:val="24"/>
                <w:szCs w:val="28"/>
                <w:lang w:val="en-US" w:eastAsia="zh-CN" w:bidi="ar-SA"/>
              </w:rPr>
            </w:pPr>
          </w:p>
        </w:tc>
        <w:tc>
          <w:tcPr>
            <w:tcW w:w="1045" w:type="dxa"/>
            <w:vMerge w:val="continue"/>
            <w:vAlign w:val="center"/>
          </w:tcPr>
          <w:p>
            <w:pPr>
              <w:spacing w:line="560" w:lineRule="exact"/>
              <w:jc w:val="both"/>
              <w:rPr>
                <w:rFonts w:hint="eastAsia" w:ascii="仿宋" w:hAnsi="仿宋" w:eastAsia="仿宋" w:cs="Times New Roman"/>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681" w:type="dxa"/>
            <w:vMerge w:val="continue"/>
            <w:vAlign w:val="center"/>
          </w:tcPr>
          <w:p>
            <w:pPr>
              <w:spacing w:line="560" w:lineRule="exact"/>
              <w:jc w:val="both"/>
              <w:rPr>
                <w:rFonts w:hint="eastAsia" w:ascii="仿宋" w:hAnsi="仿宋" w:eastAsia="仿宋" w:cs="Times New Roman"/>
                <w:kern w:val="2"/>
                <w:sz w:val="24"/>
                <w:szCs w:val="28"/>
                <w:lang w:val="en-US" w:eastAsia="zh-CN" w:bidi="ar-SA"/>
              </w:rPr>
            </w:pPr>
          </w:p>
        </w:tc>
        <w:tc>
          <w:tcPr>
            <w:tcW w:w="1088" w:type="dxa"/>
            <w:vMerge w:val="continue"/>
            <w:vAlign w:val="center"/>
          </w:tcPr>
          <w:p>
            <w:pPr>
              <w:spacing w:line="560" w:lineRule="exact"/>
              <w:jc w:val="both"/>
              <w:rPr>
                <w:rFonts w:hint="eastAsia" w:ascii="仿宋" w:hAnsi="仿宋" w:eastAsia="仿宋" w:cs="Times New Roman"/>
                <w:kern w:val="2"/>
                <w:sz w:val="24"/>
                <w:szCs w:val="28"/>
                <w:lang w:val="en-US" w:eastAsia="zh-CN" w:bidi="ar-SA"/>
              </w:rPr>
            </w:pPr>
          </w:p>
        </w:tc>
        <w:tc>
          <w:tcPr>
            <w:tcW w:w="2550" w:type="dxa"/>
            <w:vMerge w:val="continue"/>
            <w:vAlign w:val="center"/>
          </w:tcPr>
          <w:p>
            <w:pPr>
              <w:spacing w:line="560" w:lineRule="exact"/>
              <w:jc w:val="both"/>
              <w:rPr>
                <w:rFonts w:hint="eastAsia" w:ascii="仿宋" w:hAnsi="仿宋" w:eastAsia="仿宋" w:cs="Times New Roman"/>
                <w:kern w:val="2"/>
                <w:sz w:val="24"/>
                <w:szCs w:val="28"/>
                <w:lang w:val="en-US" w:eastAsia="zh-CN" w:bidi="ar-SA"/>
              </w:rPr>
            </w:pPr>
          </w:p>
        </w:tc>
        <w:tc>
          <w:tcPr>
            <w:tcW w:w="3225" w:type="dxa"/>
            <w:vMerge w:val="continue"/>
            <w:vAlign w:val="center"/>
          </w:tcPr>
          <w:p>
            <w:pPr>
              <w:spacing w:line="560" w:lineRule="exact"/>
              <w:jc w:val="both"/>
              <w:rPr>
                <w:rFonts w:hint="eastAsia" w:ascii="仿宋" w:hAnsi="仿宋" w:eastAsia="仿宋" w:cs="Times New Roman"/>
                <w:kern w:val="2"/>
                <w:sz w:val="24"/>
                <w:szCs w:val="28"/>
                <w:lang w:val="en-US" w:eastAsia="zh-CN" w:bidi="ar-SA"/>
              </w:rPr>
            </w:pPr>
          </w:p>
        </w:tc>
        <w:tc>
          <w:tcPr>
            <w:tcW w:w="4335" w:type="dxa"/>
            <w:vAlign w:val="center"/>
          </w:tcPr>
          <w:p>
            <w:pPr>
              <w:numPr>
                <w:ilvl w:val="0"/>
                <w:numId w:val="0"/>
              </w:numPr>
              <w:spacing w:line="560" w:lineRule="exact"/>
              <w:jc w:val="both"/>
              <w:rPr>
                <w:rFonts w:hint="eastAsia" w:ascii="仿宋" w:hAnsi="仿宋" w:eastAsia="仿宋" w:cs="Times New Roman"/>
                <w:kern w:val="2"/>
                <w:sz w:val="24"/>
                <w:szCs w:val="28"/>
                <w:lang w:val="en-US" w:eastAsia="zh-CN" w:bidi="ar-SA"/>
              </w:rPr>
            </w:pPr>
            <w:r>
              <w:rPr>
                <w:rFonts w:hint="eastAsia" w:ascii="仿宋" w:hAnsi="仿宋" w:eastAsia="仿宋"/>
                <w:sz w:val="24"/>
                <w:szCs w:val="28"/>
                <w:lang w:val="en-US" w:eastAsia="zh-CN"/>
              </w:rPr>
              <w:t>3.</w:t>
            </w:r>
            <w:r>
              <w:rPr>
                <w:rFonts w:hint="eastAsia" w:ascii="仿宋" w:hAnsi="仿宋" w:eastAsia="仿宋"/>
                <w:sz w:val="24"/>
                <w:szCs w:val="28"/>
              </w:rPr>
              <w:t>《国家知识产权局关于持续深化知识产权代理行业“蓝天”专项整治行动的通知》（国知发运函字〔2022〕46号）第四点提出，“探索建立知识产权代理质量社会评价机制，鼓励和引导广大创新主体和社会公众对代理机构服务质量进行评价，为市场选择提供有益参考”，“加强代理资质、经营状况公示，进一步便利社会公众正确选用代理机构”。</w:t>
            </w:r>
          </w:p>
        </w:tc>
        <w:tc>
          <w:tcPr>
            <w:tcW w:w="1200" w:type="dxa"/>
            <w:vMerge w:val="continue"/>
            <w:vAlign w:val="center"/>
          </w:tcPr>
          <w:p>
            <w:pPr>
              <w:spacing w:line="560" w:lineRule="exact"/>
              <w:jc w:val="both"/>
              <w:rPr>
                <w:rFonts w:hint="eastAsia" w:ascii="仿宋" w:hAnsi="仿宋" w:eastAsia="仿宋" w:cs="Times New Roman"/>
                <w:kern w:val="2"/>
                <w:sz w:val="24"/>
                <w:szCs w:val="28"/>
                <w:lang w:val="en-US" w:eastAsia="zh-CN" w:bidi="ar-SA"/>
              </w:rPr>
            </w:pPr>
          </w:p>
        </w:tc>
        <w:tc>
          <w:tcPr>
            <w:tcW w:w="1045" w:type="dxa"/>
            <w:vMerge w:val="continue"/>
            <w:vAlign w:val="center"/>
          </w:tcPr>
          <w:p>
            <w:pPr>
              <w:spacing w:line="560" w:lineRule="exact"/>
              <w:jc w:val="both"/>
              <w:rPr>
                <w:rFonts w:hint="eastAsia" w:ascii="仿宋" w:hAnsi="仿宋" w:eastAsia="仿宋" w:cs="Times New Roman"/>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81" w:type="dxa"/>
            <w:vMerge w:val="restart"/>
          </w:tcPr>
          <w:p>
            <w:pPr>
              <w:spacing w:line="560" w:lineRule="exact"/>
              <w:jc w:val="center"/>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2</w:t>
            </w:r>
          </w:p>
        </w:tc>
        <w:tc>
          <w:tcPr>
            <w:tcW w:w="1088" w:type="dxa"/>
            <w:vMerge w:val="restart"/>
          </w:tcPr>
          <w:p>
            <w:pPr>
              <w:spacing w:line="560" w:lineRule="exact"/>
              <w:jc w:val="both"/>
              <w:rPr>
                <w:rFonts w:hint="default" w:ascii="仿宋" w:hAnsi="仿宋" w:eastAsia="仿宋" w:cs="Times New Roman"/>
                <w:kern w:val="2"/>
                <w:sz w:val="24"/>
                <w:szCs w:val="28"/>
                <w:lang w:val="en-US" w:eastAsia="zh-CN" w:bidi="ar-SA"/>
              </w:rPr>
            </w:pPr>
            <w:r>
              <w:rPr>
                <w:rFonts w:hint="eastAsia" w:ascii="仿宋" w:hAnsi="仿宋" w:eastAsia="仿宋" w:cs="Times New Roman"/>
                <w:sz w:val="24"/>
                <w:szCs w:val="28"/>
                <w:lang w:eastAsia="zh-CN"/>
              </w:rPr>
              <w:t>知识产权国际合作高地建设项目</w:t>
            </w:r>
          </w:p>
        </w:tc>
        <w:tc>
          <w:tcPr>
            <w:tcW w:w="2550" w:type="dxa"/>
            <w:vMerge w:val="restart"/>
          </w:tcPr>
          <w:p>
            <w:pPr>
              <w:spacing w:line="560" w:lineRule="exact"/>
              <w:jc w:val="center"/>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组织开展“深圳知识产权国际合作论坛（2022）”活动，包括活动策划、活动的各项会务准备和组织、活动的前期预热以及结束后的宣传工作；组织并引导粤港澳大湾区创新主体，尤其是深圳创新主体积极参与论坛活动等，通过本次论坛搭建的国际平台，有利于拓宽深圳知识产权“朋友圈”。</w:t>
            </w:r>
          </w:p>
        </w:tc>
        <w:tc>
          <w:tcPr>
            <w:tcW w:w="3225" w:type="dxa"/>
            <w:vMerge w:val="restart"/>
          </w:tcPr>
          <w:p>
            <w:pPr>
              <w:numPr>
                <w:ilvl w:val="0"/>
                <w:numId w:val="0"/>
              </w:numPr>
              <w:spacing w:line="560" w:lineRule="exact"/>
              <w:jc w:val="both"/>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1.《“十四五”国家知识产权保护和运用规划》；</w:t>
            </w:r>
          </w:p>
          <w:p>
            <w:pPr>
              <w:numPr>
                <w:ilvl w:val="0"/>
                <w:numId w:val="0"/>
              </w:numPr>
              <w:spacing w:line="560" w:lineRule="exact"/>
              <w:jc w:val="both"/>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2.《</w:t>
            </w:r>
            <w:r>
              <w:rPr>
                <w:rFonts w:hint="default" w:ascii="仿宋" w:hAnsi="仿宋" w:eastAsia="仿宋" w:cs="Times New Roman"/>
                <w:kern w:val="2"/>
                <w:sz w:val="24"/>
                <w:szCs w:val="28"/>
                <w:lang w:val="en-US" w:eastAsia="zh-CN" w:bidi="ar-SA"/>
              </w:rPr>
              <w:t>知识产权强国建设纲要（2021—2035年）</w:t>
            </w:r>
            <w:r>
              <w:rPr>
                <w:rFonts w:hint="eastAsia" w:ascii="仿宋" w:hAnsi="仿宋" w:eastAsia="仿宋" w:cs="Times New Roman"/>
                <w:kern w:val="2"/>
                <w:sz w:val="24"/>
                <w:szCs w:val="28"/>
                <w:lang w:val="en-US" w:eastAsia="zh-CN" w:bidi="ar-SA"/>
              </w:rPr>
              <w:t>》。</w:t>
            </w:r>
          </w:p>
        </w:tc>
        <w:tc>
          <w:tcPr>
            <w:tcW w:w="4335" w:type="dxa"/>
          </w:tcPr>
          <w:p>
            <w:pPr>
              <w:numPr>
                <w:ilvl w:val="0"/>
                <w:numId w:val="4"/>
              </w:numPr>
              <w:spacing w:line="560" w:lineRule="exact"/>
              <w:jc w:val="both"/>
              <w:rPr>
                <w:rFonts w:hint="default" w:ascii="仿宋" w:hAnsi="仿宋" w:eastAsia="仿宋" w:cs="Times New Roman"/>
                <w:kern w:val="2"/>
                <w:sz w:val="24"/>
                <w:szCs w:val="28"/>
                <w:lang w:val="en-US" w:eastAsia="zh-CN" w:bidi="ar-SA"/>
              </w:rPr>
            </w:pPr>
            <w:r>
              <w:rPr>
                <w:rFonts w:hint="default" w:ascii="仿宋" w:hAnsi="仿宋" w:eastAsia="仿宋"/>
                <w:sz w:val="24"/>
                <w:szCs w:val="28"/>
              </w:rPr>
              <w:t>《“十四五”国家知识产权保护和运用规划》第四项“提高知识产权转移转化成效，支撑实体经济创新发展”部分提到，“推动粤港澳大湾区打造知识产权国际合作高地”；第六项“推进知识产权国际合作，服务开放型经济发展”提到，“加强知识产权国际合作机制建设”，“优化知识产权国际合作环境”。</w:t>
            </w:r>
          </w:p>
        </w:tc>
        <w:tc>
          <w:tcPr>
            <w:tcW w:w="1200" w:type="dxa"/>
            <w:vMerge w:val="restart"/>
          </w:tcPr>
          <w:p>
            <w:pPr>
              <w:spacing w:line="560" w:lineRule="exact"/>
              <w:jc w:val="center"/>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项目合同签订日起至2022年11月30日</w:t>
            </w:r>
          </w:p>
        </w:tc>
        <w:tc>
          <w:tcPr>
            <w:tcW w:w="1045" w:type="dxa"/>
            <w:vMerge w:val="restart"/>
          </w:tcPr>
          <w:p>
            <w:pPr>
              <w:spacing w:line="560" w:lineRule="exact"/>
              <w:jc w:val="center"/>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81" w:type="dxa"/>
            <w:vMerge w:val="continue"/>
          </w:tcPr>
          <w:p>
            <w:pPr>
              <w:spacing w:line="560" w:lineRule="exact"/>
              <w:jc w:val="both"/>
            </w:pPr>
          </w:p>
        </w:tc>
        <w:tc>
          <w:tcPr>
            <w:tcW w:w="1088" w:type="dxa"/>
            <w:vMerge w:val="continue"/>
          </w:tcPr>
          <w:p>
            <w:pPr>
              <w:spacing w:line="560" w:lineRule="exact"/>
              <w:jc w:val="both"/>
            </w:pPr>
          </w:p>
        </w:tc>
        <w:tc>
          <w:tcPr>
            <w:tcW w:w="2550" w:type="dxa"/>
            <w:vMerge w:val="continue"/>
          </w:tcPr>
          <w:p>
            <w:pPr>
              <w:spacing w:line="560" w:lineRule="exact"/>
              <w:jc w:val="both"/>
            </w:pPr>
          </w:p>
        </w:tc>
        <w:tc>
          <w:tcPr>
            <w:tcW w:w="3225" w:type="dxa"/>
            <w:vMerge w:val="continue"/>
          </w:tcPr>
          <w:p>
            <w:pPr>
              <w:spacing w:line="560" w:lineRule="exact"/>
              <w:jc w:val="both"/>
            </w:pPr>
          </w:p>
        </w:tc>
        <w:tc>
          <w:tcPr>
            <w:tcW w:w="4335" w:type="dxa"/>
          </w:tcPr>
          <w:p>
            <w:pPr>
              <w:numPr>
                <w:ilvl w:val="0"/>
                <w:numId w:val="4"/>
              </w:numPr>
              <w:spacing w:line="560" w:lineRule="exact"/>
              <w:jc w:val="both"/>
              <w:rPr>
                <w:rFonts w:hint="eastAsia" w:ascii="仿宋" w:hAnsi="仿宋" w:eastAsia="仿宋" w:cs="Times New Roman"/>
                <w:kern w:val="2"/>
                <w:sz w:val="24"/>
                <w:szCs w:val="28"/>
                <w:lang w:val="en-US" w:eastAsia="zh-CN" w:bidi="ar-SA"/>
              </w:rPr>
            </w:pPr>
            <w:r>
              <w:rPr>
                <w:rFonts w:hint="eastAsia" w:ascii="仿宋" w:hAnsi="仿宋" w:eastAsia="仿宋"/>
                <w:sz w:val="24"/>
                <w:szCs w:val="28"/>
              </w:rPr>
              <w:t>《知识产权强国建设纲要（2021—2035年）》第七项“建设促进知识产权高质量发展的人文社会环境”提到，“大力发展国家知识产权高端智库和特色智库，深化理论和政策研究，加强国际学术交流”；第八项“深度参与全球知识产权治理”提到，“扩大知识产权领域对外开放，完善国际对话交流机制”，“积极发挥非政府组织在知识产权国际交流合作中的作用”。</w:t>
            </w:r>
          </w:p>
        </w:tc>
        <w:tc>
          <w:tcPr>
            <w:tcW w:w="1200" w:type="dxa"/>
            <w:vMerge w:val="continue"/>
          </w:tcPr>
          <w:p>
            <w:pPr>
              <w:spacing w:line="560" w:lineRule="exact"/>
              <w:jc w:val="both"/>
              <w:rPr>
                <w:rFonts w:hint="eastAsia" w:ascii="仿宋" w:hAnsi="仿宋" w:eastAsia="仿宋" w:cs="Times New Roman"/>
                <w:kern w:val="2"/>
                <w:sz w:val="24"/>
                <w:szCs w:val="28"/>
                <w:lang w:val="en-US" w:eastAsia="zh-CN" w:bidi="ar-SA"/>
              </w:rPr>
            </w:pPr>
          </w:p>
        </w:tc>
        <w:tc>
          <w:tcPr>
            <w:tcW w:w="1045" w:type="dxa"/>
            <w:vMerge w:val="continue"/>
          </w:tcPr>
          <w:p>
            <w:pPr>
              <w:spacing w:line="560" w:lineRule="exact"/>
              <w:jc w:val="both"/>
              <w:rPr>
                <w:rFonts w:hint="eastAsia" w:ascii="仿宋" w:hAnsi="仿宋" w:eastAsia="仿宋" w:cs="Times New Roman"/>
                <w:kern w:val="2"/>
                <w:sz w:val="24"/>
                <w:szCs w:val="28"/>
                <w:lang w:val="en-US" w:eastAsia="zh-CN" w:bidi="ar-SA"/>
              </w:rPr>
            </w:pPr>
          </w:p>
        </w:tc>
      </w:tr>
    </w:tbl>
    <w:p>
      <w:pPr>
        <w:rPr>
          <w:rFonts w:hint="eastAsia" w:eastAsia="仿宋"/>
          <w:lang w:eastAsia="zh-CN"/>
        </w:rPr>
      </w:pPr>
      <w:r>
        <w:rPr>
          <w:rFonts w:hint="eastAsia" w:ascii="仿宋" w:hAnsi="仿宋" w:eastAsia="仿宋" w:cs="仿宋"/>
          <w:sz w:val="24"/>
        </w:rPr>
        <w:t>注：申请人申报202</w:t>
      </w:r>
      <w:r>
        <w:rPr>
          <w:rFonts w:hint="eastAsia" w:ascii="仿宋" w:hAnsi="仿宋" w:eastAsia="仿宋" w:cs="仿宋"/>
          <w:sz w:val="24"/>
          <w:lang w:val="en-US" w:eastAsia="zh-CN"/>
        </w:rPr>
        <w:t>2</w:t>
      </w:r>
      <w:r>
        <w:rPr>
          <w:rFonts w:hint="eastAsia" w:ascii="仿宋" w:hAnsi="仿宋" w:eastAsia="仿宋" w:cs="仿宋"/>
          <w:sz w:val="24"/>
        </w:rPr>
        <w:t>年度深圳市知识产权重大专项资助项目时，提交项目方案应包括但不限于本表格所述的“主要内容”</w:t>
      </w:r>
      <w:r>
        <w:rPr>
          <w:rFonts w:hint="eastAsia" w:ascii="仿宋" w:hAnsi="仿宋" w:eastAsia="仿宋" w:cs="仿宋"/>
          <w:sz w:val="24"/>
          <w:lang w:eastAsia="zh-CN"/>
        </w:rPr>
        <w:t>。</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19234"/>
    </w:sdtPr>
    <w:sdtContent>
      <w:p>
        <w:pPr>
          <w:pStyle w:val="3"/>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7213D"/>
    <w:multiLevelType w:val="singleLevel"/>
    <w:tmpl w:val="8C07213D"/>
    <w:lvl w:ilvl="0" w:tentative="0">
      <w:start w:val="3"/>
      <w:numFmt w:val="decimal"/>
      <w:lvlText w:val="%1."/>
      <w:lvlJc w:val="left"/>
      <w:pPr>
        <w:tabs>
          <w:tab w:val="left" w:pos="312"/>
        </w:tabs>
      </w:pPr>
    </w:lvl>
  </w:abstractNum>
  <w:abstractNum w:abstractNumId="1">
    <w:nsid w:val="E1683D1A"/>
    <w:multiLevelType w:val="singleLevel"/>
    <w:tmpl w:val="E1683D1A"/>
    <w:lvl w:ilvl="0" w:tentative="0">
      <w:start w:val="1"/>
      <w:numFmt w:val="chineseCounting"/>
      <w:suff w:val="nothing"/>
      <w:lvlText w:val="（%1）"/>
      <w:lvlJc w:val="left"/>
      <w:rPr>
        <w:rFonts w:hint="eastAsia"/>
      </w:rPr>
    </w:lvl>
  </w:abstractNum>
  <w:abstractNum w:abstractNumId="2">
    <w:nsid w:val="FED209E9"/>
    <w:multiLevelType w:val="singleLevel"/>
    <w:tmpl w:val="FED209E9"/>
    <w:lvl w:ilvl="0" w:tentative="0">
      <w:start w:val="1"/>
      <w:numFmt w:val="decimal"/>
      <w:suff w:val="space"/>
      <w:lvlText w:val="%1."/>
      <w:lvlJc w:val="left"/>
    </w:lvl>
  </w:abstractNum>
  <w:abstractNum w:abstractNumId="3">
    <w:nsid w:val="78DF5BA5"/>
    <w:multiLevelType w:val="multilevel"/>
    <w:tmpl w:val="78DF5BA5"/>
    <w:lvl w:ilvl="0" w:tentative="0">
      <w:start w:val="1"/>
      <w:numFmt w:val="japaneseCounting"/>
      <w:lvlText w:val="%1、"/>
      <w:lvlJc w:val="left"/>
      <w:pPr>
        <w:ind w:left="2351"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937E0"/>
    <w:rsid w:val="32DA6B7B"/>
    <w:rsid w:val="35976FC7"/>
    <w:rsid w:val="3AFA403A"/>
    <w:rsid w:val="6DB7C571"/>
    <w:rsid w:val="737FC702"/>
    <w:rsid w:val="74B937E0"/>
    <w:rsid w:val="9DFF1B75"/>
    <w:rsid w:val="B7CF9AC5"/>
    <w:rsid w:val="BFBFA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5294</Words>
  <Characters>5675</Characters>
  <Lines>0</Lines>
  <Paragraphs>0</Paragraphs>
  <TotalTime>0</TotalTime>
  <ScaleCrop>false</ScaleCrop>
  <LinksUpToDate>false</LinksUpToDate>
  <CharactersWithSpaces>5676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2022-04-26T18:04:00Z</dcterms:created>
  <dc:creator>刘妍彤</dc:creator>
  <cp:lastModifiedBy>WANGQW</cp:lastModifiedBy>
  <dcterms:modified xsi:type="dcterms:W3CDTF">2022-04-28T17:51:48Z</dcterms:modified>
  <dc:title>附件5</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6FC6261925BF412595E6144D427FC0D3</vt:lpwstr>
  </property>
</Properties>
</file>