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The Noco Company美国商标布局情况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及美国联邦地区法院商标诉讼涉深案件列表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美国商标布局情况</w:t>
      </w:r>
    </w:p>
    <w:tbl>
      <w:tblPr>
        <w:tblStyle w:val="2"/>
        <w:tblW w:w="0" w:type="auto"/>
        <w:tblCellSpacing w:w="15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"/>
        <w:gridCol w:w="1149"/>
        <w:gridCol w:w="1043"/>
        <w:gridCol w:w="2963"/>
        <w:gridCol w:w="957"/>
        <w:gridCol w:w="1018"/>
        <w:gridCol w:w="98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Serial Number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Reg. Number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Word Mark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Check Status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Live/Dead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Class(es)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97194543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ARIA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"caseNumber=97194543&amp;caseType=SERIAL_NO&amp;searchType=statusSearch"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97063173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AIR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"caseNumber=97063173&amp;caseType=SERIAL_NO&amp;searchType=statusSearch"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90318599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6740540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DYNAMIC BMS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"caseNumber=90318599&amp;caseType=SERIAL_NO&amp;searchType=statusSearch"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90105812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POWER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"caseNumber=90105812&amp;caseType=SERIAL_NO&amp;searchType=statusSearch"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90330005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6673668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NLP30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"caseNumber=90330005&amp;caseType=SERIAL_NO&amp;searchType=statusSearch"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90330001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6673667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NLP20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"caseNumber=90330001&amp;caseType=SERIAL_NO&amp;searchType=statusSearch"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90329998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6673666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NLP9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"caseNumber=90329998&amp;caseType=SERIAL_NO&amp;searchType=statusSearch"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90329996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6673665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NLP14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"caseNumber=90329996&amp;caseType=SERIAL_NO&amp;searchType=statusSearch"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90329991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6673664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NLP5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"caseNumber=90329991&amp;caseType=SERIAL_NO&amp;searchType=statusSearch"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90541696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LONG LIVE LITHIUM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"caseNumber=90541696&amp;caseType=SERIAL_NO&amp;searchType=statusSearch"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90474921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ULTRASAFE 2.0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"caseNumber=90474921&amp;caseType=SERIAL_NO&amp;searchType=statusSearch"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90329985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FORCE MODE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"caseNumber=90329985&amp;caseType=SERIAL_NO&amp;searchType=statusSearch"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90015672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6616283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BOOST X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"caseNumber=90015672&amp;caseType=SERIAL_NO&amp;searchType=statusSearch"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88523643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"caseNumber=88523643&amp;caseType=SERIAL_NO&amp;searchType=statusSearch"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88152419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6598199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LITHIUM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"caseNumber=88152419&amp;caseType=SERIAL_NO&amp;searchType=statusSearch"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"https://tmsearch.uspto.gov/bin/showfield?f=doc&amp;state=4808:toqank.2.15"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88923262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6584350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NLP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"caseNumber=88923262&amp;caseType=SERIAL_NO&amp;searchType=statusSearch"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88857997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6175029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GENIUS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"caseNumber=88857997&amp;caseType=SERIAL_NO&amp;searchType=statusSearch"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88193168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5962831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BOOST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"caseNumber=88193168&amp;caseType=SERIAL_NO&amp;searchType=statusSearch"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"https://tmsearch.uspto.gov/bin/showfield?f=doc&amp;state=4808:toqank.2.18"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87164246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5303090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GENIUS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"caseNumber=87164246&amp;caseType=SERIAL_NO&amp;searchType=statusSearch"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87164245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5238298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"caseNumber=87164245&amp;caseType=SERIAL_NO&amp;searchType=statusSearch"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86030590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4762738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"caseNumber=86030590&amp;caseType=SERIAL_NO&amp;searchType=statusSearch"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"https://tmsearch.uspto.gov/bin/showfield?f=doc&amp;state=4808:toqank.2.29"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86508668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4811749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SAFELY JUMP START A DEAD BATTERY IN SECONDS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"caseNumber=86508668&amp;caseType=SERIAL_NO&amp;searchType=statusSearch"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86504600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4811656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ULTRASAFE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"caseNumber=86504600&amp;caseType=SERIAL_NO&amp;searchType=statusSearch"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86250010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4778384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GENIUS BOOST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"caseNumber=86250010&amp;caseType=SERIAL_NO&amp;searchType=statusSearch"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86250005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4778383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GENIUS BOOST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"caseNumber=86250005&amp;caseType=SERIAL_NO&amp;searchType=statusSearch"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86249997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4644688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GENIUS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"caseNumber=86249997&amp;caseType=SERIAL_NO&amp;searchType=statusSearch"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"https://tmsearch.uspto.gov/bin/showfield?f=doc&amp;state=4808:toqank.2.34"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85339171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4087428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"caseNumber=85339171&amp;caseType=SERIAL_NO&amp;searchType=statusSearch"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85787445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4313218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XGRID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"caseNumber=85787445&amp;caseType=SERIAL_NO&amp;searchType=statusSearch"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85199515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4151034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WICKED SMART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"caseNumber=85199515&amp;caseType=SERIAL_NO&amp;searchType=statusSearch"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85983216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4749787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CHARGELIGHT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"caseNumber=85983216&amp;caseType=SERIAL_NO&amp;searchType=statusSearch"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"https://tmsearch.uspto.gov/bin/showfield?f=doc&amp;state=4808:toqank.2.39"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85954287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5392112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CHARGELIGHT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"caseNumber=85954287&amp;caseType=SERIAL_NO&amp;searchType=statusSearch"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85698781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4416996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BATTERY LIFE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"caseNumber=85698781&amp;caseType=SERIAL_NO&amp;searchType=statusSearch"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85698774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5093041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CHARGELIGHT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"caseNumber=85698774&amp;caseType=SERIAL_NO&amp;searchType=statusSearch"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"https://tmsearch.uspto.gov/bin/showfield?f=doc&amp;state=4808:toqank.2.42"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85476788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4239142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XGRID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"caseNumber=85476788&amp;caseType=SERIAL_NO&amp;searchType=statusSearch"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"https://tmsearch.uspto.gov/bin/showfield?f=doc&amp;state=4808:toqank.2.43"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78336790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3125625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STOP CORROSION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"caseNumber=78336790&amp;caseType=SERIAL_NO&amp;searchType=statusSearch"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78336574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2906822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NCP-2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"caseNumber=78336574&amp;caseType=SERIAL_NO&amp;searchType=statusSearch"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"https://tmsearch.uspto.gov/bin/showfield?f=doc&amp;state=4808:toqank.2.47"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77698054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3779305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 GENIUS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"caseNumber=77698054&amp;caseType=SERIAL_NO&amp;searchType=statusSearch"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"https://tmsearch.uspto.gov/bin/showfield?f=doc&amp;state=4808:toqank.2.50"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/>
                <w:b w:val="0"/>
                <w:bCs w:val="0"/>
                <w:caps w:val="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77698052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3835896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WICKED SMART CHARGERS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"caseNumber=77698052&amp;caseType=SERIAL_NO&amp;searchType=statusSearch"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"https://tmsearch.uspto.gov/bin/showfield?f=doc&amp;state=4808:toqank.2.51"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73248341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1165271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"caseNumber=73248341&amp;caseType=SERIAL_NO&amp;searchType=statusSearch"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"https://tmsearch.uspto.gov/bin/showfield?f=doc&amp;state=4808:toqank.2.56"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73407626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1302394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"caseNumber=73407626&amp;caseType=SERIAL_NO&amp;searchType=statusSearch"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"https://tmsearch.uspto.gov/bin/showfield?f=doc&amp;state=4808:toqank.2.57"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73248366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1448179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"caseNumber=73248366&amp;caseType=SERIAL_NO&amp;searchType=statusSearch"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"https://tmsearch.uspto.gov/bin/showfield?f=doc&amp;state=4808:toqank.2.58"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73248343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1448049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NOCO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"http://tsdr.uspto.gov/" \l "caseNumber=73248343&amp;caseType=SERIAL_NO&amp;searchType=statusSearch"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TSDR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"https://tmsearch.uspto.gov/bin/showfield?f=doc&amp;state=4808:toqank.2.59" </w:instrTex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sz w:val="19"/>
                <w:szCs w:val="19"/>
                <w:u w:val="none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caps w:val="0"/>
                <w:color w:val="006699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aps w:val="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二、美国联邦地区法院商标诉讼涉深案件列表</w:t>
      </w:r>
    </w:p>
    <w:tbl>
      <w:tblPr>
        <w:tblStyle w:val="3"/>
        <w:tblpPr w:leftFromText="180" w:rightFromText="180" w:vertAnchor="text" w:horzAnchor="page" w:tblpX="1860" w:tblpY="878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00"/>
        <w:gridCol w:w="1290"/>
        <w:gridCol w:w="1424"/>
        <w:gridCol w:w="1650"/>
        <w:gridCol w:w="1198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涉案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商标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原告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代理律所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原告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代理律师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结案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判赔额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1:21-cv-00604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ULTRASAFE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Vorys, Sater, Seymour and Pease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Michael John Garvin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Aaron Mark Williams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未结案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1:21-cv-00603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ULTRASAFE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Vorys, Sater, Seymour and Pease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Michael John Garvin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Aaron Mark Williams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未结案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1:21-cv-00835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ULTRASAFE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Kohrman Jackson &amp; Krantz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Alexander M. Welsh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Sean Patrick Malone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Anna Elaine Bullock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John J. Pinney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原告自愿撤诉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1:21-cv-00907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ULTRASAFE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Kohrman Jackson &amp; Krantz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Alexander M. Welsh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Sean Patrick Malone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Anna Elaine Bullock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John J. Pinney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程序性撤诉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1:21-cv-01009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ULTRASAFE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Kohrman Jackson &amp; Krantz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Malone Law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John J. Pinney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Anna Elaine Bullock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Alexander M. Welsh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Derek Paul Hartman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Sean Patrick Malone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未结案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1:22-cv-00182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ULTRASAFE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Kohrman Jackson &amp; Krantz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Alexander M. Welsh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Derek Paul Hartman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Anna Elaine Bullock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John J. Pinney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未结案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1:22-cv-00211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ULTRASAFE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Kohrman Jackson &amp; Krantz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Derek Paul Hartman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John J. Pinney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Anna Elaine Bullock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Alexander M. Welsh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未结案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1:22-cv-01025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NOCO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NOCO GENIUS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SAFELY JUMP START A DEAD BATTERY IN SECONDS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ULTRASAFE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"https://law.lexmachina.com/counsel/law_firm/7633904"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Kohrman Jackson &amp; Krantz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"https://law.lexmachina.com/counsel/attorney/93458112"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Alexander M. Welsh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"https://law.lexmachina.com/counsel/attorney/136793558"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Derek Paul Hartman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"https://law.lexmachina.com/counsel/attorney/154916219"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Hannah J. Kraus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"https://law.lexmachina.com/counsel/attorney/8701939"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John J. Pinney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未结案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A78F0"/>
    <w:multiLevelType w:val="singleLevel"/>
    <w:tmpl w:val="FD6A78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Tg2OTRkMDlhYzM4MGQwNjA5NjU5ZTY1ZjlhN2IifQ=="/>
  </w:docVars>
  <w:rsids>
    <w:rsidRoot w:val="662E4988"/>
    <w:rsid w:val="488A153F"/>
    <w:rsid w:val="662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2363</Characters>
  <Lines>0</Lines>
  <Paragraphs>0</Paragraphs>
  <TotalTime>0</TotalTime>
  <ScaleCrop>false</ScaleCrop>
  <LinksUpToDate>false</LinksUpToDate>
  <CharactersWithSpaces>2499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2022-06-21T06:36:00Z</dcterms:created>
  <dc:creator>卢仰红</dc:creator>
  <cp:lastModifiedBy>卢仰红</cp:lastModifiedBy>
  <dcterms:modified xsi:type="dcterms:W3CDTF">2022-06-21T06:59:31Z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2EF9319F40FE4C999905F5387436FA52</vt:lpwstr>
  </property>
</Properties>
</file>