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0DC57">
      <w:pPr>
        <w:spacing w:line="600" w:lineRule="exact"/>
        <w:jc w:val="center"/>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eastAsia="zh-CN"/>
        </w:rPr>
        <w:t>举办欧洲知识产权保护高阶研讨班</w:t>
      </w:r>
      <w:r>
        <w:rPr>
          <w:rFonts w:hint="eastAsia" w:ascii="方正小标宋简体" w:hAnsi="方正小标宋简体" w:eastAsia="方正小标宋简体" w:cs="方正小标宋简体"/>
          <w:b w:val="0"/>
          <w:bCs w:val="0"/>
          <w:sz w:val="44"/>
          <w:szCs w:val="44"/>
        </w:rPr>
        <w:t>的通知</w:t>
      </w:r>
    </w:p>
    <w:p w14:paraId="3922B0F8">
      <w:pPr>
        <w:spacing w:line="600" w:lineRule="exact"/>
        <w:rPr>
          <w:rFonts w:hint="eastAsia" w:ascii="仿宋_GB2312" w:eastAsia="仿宋_GB2312"/>
          <w:sz w:val="32"/>
          <w:szCs w:val="32"/>
          <w:lang w:eastAsia="zh-CN"/>
        </w:rPr>
      </w:pPr>
    </w:p>
    <w:p w14:paraId="639B88EB">
      <w:pPr>
        <w:spacing w:line="600" w:lineRule="exact"/>
        <w:jc w:val="left"/>
        <w:rPr>
          <w:rFonts w:hint="default" w:ascii="黑体" w:hAnsi="黑体" w:eastAsia="黑体" w:cs="黑体"/>
          <w:b w:val="0"/>
          <w:bCs w:val="0"/>
          <w:sz w:val="36"/>
          <w:szCs w:val="36"/>
          <w:lang w:val="en-US" w:eastAsia="zh-CN"/>
        </w:rPr>
      </w:pPr>
      <w:bookmarkStart w:id="0" w:name="_GoBack"/>
      <w:bookmarkEnd w:id="0"/>
      <w:r>
        <w:rPr>
          <w:rFonts w:hint="eastAsia" w:ascii="黑体" w:hAnsi="黑体" w:eastAsia="黑体" w:cs="黑体"/>
          <w:b w:val="0"/>
          <w:bCs w:val="0"/>
          <w:sz w:val="36"/>
          <w:szCs w:val="36"/>
          <w:lang w:eastAsia="zh-CN"/>
        </w:rPr>
        <w:t>附件</w:t>
      </w:r>
      <w:r>
        <w:rPr>
          <w:rFonts w:hint="eastAsia" w:ascii="黑体" w:hAnsi="黑体" w:eastAsia="黑体" w:cs="黑体"/>
          <w:b w:val="0"/>
          <w:bCs w:val="0"/>
          <w:sz w:val="36"/>
          <w:szCs w:val="36"/>
          <w:lang w:val="en-US" w:eastAsia="zh-CN"/>
        </w:rPr>
        <w:t>1</w:t>
      </w:r>
    </w:p>
    <w:p w14:paraId="686B02CE">
      <w:pPr>
        <w:rPr>
          <w:rFonts w:hint="eastAsia"/>
          <w:lang w:eastAsia="zh-CN"/>
        </w:rPr>
      </w:pPr>
    </w:p>
    <w:p w14:paraId="3A43A7E6">
      <w:pPr>
        <w:spacing w:line="60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报名二维码</w:t>
      </w:r>
    </w:p>
    <w:p w14:paraId="05BB675C">
      <w:pPr>
        <w:pStyle w:val="2"/>
        <w:rPr>
          <w:rFonts w:hint="eastAsia"/>
          <w:lang w:eastAsia="zh-CN"/>
        </w:rPr>
      </w:pPr>
    </w:p>
    <w:p w14:paraId="10857F38">
      <w:pPr>
        <w:pStyle w:val="2"/>
        <w:rPr>
          <w:rFonts w:hint="eastAsia"/>
          <w:lang w:eastAsia="zh-CN"/>
        </w:rPr>
      </w:pPr>
      <w:r>
        <w:drawing>
          <wp:inline distT="0" distB="0" distL="114300" distR="114300">
            <wp:extent cx="4200525" cy="37623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200525" cy="3762375"/>
                    </a:xfrm>
                    <a:prstGeom prst="rect">
                      <a:avLst/>
                    </a:prstGeom>
                    <a:noFill/>
                    <a:ln>
                      <a:noFill/>
                    </a:ln>
                  </pic:spPr>
                </pic:pic>
              </a:graphicData>
            </a:graphic>
          </wp:inline>
        </w:drawing>
      </w:r>
    </w:p>
    <w:p w14:paraId="1FF91A8A">
      <w:pPr>
        <w:spacing w:line="600" w:lineRule="exact"/>
        <w:jc w:val="center"/>
        <w:rPr>
          <w:rFonts w:hint="eastAsia" w:ascii="方正小标宋简体" w:hAnsi="方正小标宋简体" w:eastAsia="方正小标宋简体" w:cs="方正小标宋简体"/>
          <w:b w:val="0"/>
          <w:bCs w:val="0"/>
          <w:sz w:val="44"/>
          <w:szCs w:val="44"/>
          <w:lang w:eastAsia="zh-CN"/>
        </w:rPr>
      </w:pPr>
    </w:p>
    <w:p w14:paraId="01094865">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p>
    <w:p w14:paraId="24B10836">
      <w:pPr>
        <w:spacing w:line="600" w:lineRule="exact"/>
        <w:jc w:val="center"/>
        <w:rPr>
          <w:rFonts w:hint="eastAsia" w:ascii="方正小标宋简体" w:hAnsi="方正小标宋简体" w:eastAsia="方正小标宋简体" w:cs="方正小标宋简体"/>
          <w:b w:val="0"/>
          <w:bCs w:val="0"/>
          <w:sz w:val="44"/>
          <w:szCs w:val="44"/>
          <w:lang w:eastAsia="zh-CN"/>
        </w:rPr>
      </w:pPr>
    </w:p>
    <w:p w14:paraId="463C044E">
      <w:pPr>
        <w:spacing w:line="600" w:lineRule="exact"/>
        <w:jc w:val="center"/>
        <w:rPr>
          <w:rFonts w:hint="eastAsia" w:ascii="方正小标宋简体" w:hAnsi="方正小标宋简体" w:eastAsia="方正小标宋简体" w:cs="方正小标宋简体"/>
          <w:b w:val="0"/>
          <w:bCs w:val="0"/>
          <w:sz w:val="44"/>
          <w:szCs w:val="44"/>
          <w:lang w:eastAsia="zh-CN"/>
        </w:rPr>
      </w:pPr>
    </w:p>
    <w:p w14:paraId="43FC6308">
      <w:pPr>
        <w:spacing w:line="600" w:lineRule="exact"/>
        <w:jc w:val="center"/>
        <w:rPr>
          <w:rFonts w:hint="eastAsia" w:ascii="方正小标宋简体" w:hAnsi="方正小标宋简体" w:eastAsia="方正小标宋简体" w:cs="方正小标宋简体"/>
          <w:b w:val="0"/>
          <w:bCs w:val="0"/>
          <w:sz w:val="44"/>
          <w:szCs w:val="44"/>
          <w:lang w:eastAsia="zh-CN"/>
        </w:rPr>
      </w:pPr>
    </w:p>
    <w:p w14:paraId="0A2420AD">
      <w:pPr>
        <w:rPr>
          <w:rFonts w:hint="eastAsia" w:ascii="黑体" w:hAnsi="黑体" w:eastAsia="黑体" w:cs="黑体"/>
          <w:b w:val="0"/>
          <w:bCs w:val="0"/>
          <w:sz w:val="32"/>
          <w:szCs w:val="32"/>
          <w:lang w:val="en-US" w:eastAsia="zh-CN"/>
        </w:rPr>
      </w:pPr>
      <w:r>
        <w:rPr>
          <w:rFonts w:hint="eastAsia" w:ascii="方正小标宋简体" w:hAnsi="方正小标宋简体" w:eastAsia="方正小标宋简体" w:cs="方正小标宋简体"/>
          <w:b w:val="0"/>
          <w:bCs w:val="0"/>
          <w:sz w:val="44"/>
          <w:szCs w:val="44"/>
          <w:lang w:eastAsia="zh-CN"/>
        </w:rPr>
        <w:br w:type="page"/>
      </w: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14:paraId="439C3FD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color w:val="auto"/>
          <w:sz w:val="44"/>
          <w:szCs w:val="44"/>
          <w:highlight w:val="none"/>
          <w:lang w:eastAsia="zh-CN"/>
        </w:rPr>
      </w:pPr>
      <w:r>
        <w:rPr>
          <w:rFonts w:hint="eastAsia" w:ascii="方正小标宋简体" w:hAnsi="方正小标宋简体" w:eastAsia="方正小标宋简体" w:cs="方正小标宋简体"/>
          <w:b w:val="0"/>
          <w:bCs/>
          <w:color w:val="auto"/>
          <w:sz w:val="44"/>
          <w:szCs w:val="44"/>
          <w:highlight w:val="none"/>
          <w:lang w:eastAsia="zh-CN"/>
        </w:rPr>
        <w:t>专家简介</w:t>
      </w:r>
    </w:p>
    <w:p w14:paraId="674DC15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仿宋_GB2312" w:eastAsia="楷体_GB2312" w:cs="仿宋_GB2312"/>
          <w:b/>
          <w:bCs/>
          <w:sz w:val="32"/>
          <w:szCs w:val="32"/>
          <w:highlight w:val="none"/>
          <w:lang w:eastAsia="zh-CN"/>
        </w:rPr>
      </w:pPr>
    </w:p>
    <w:p w14:paraId="188D67C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72" w:firstLineChars="200"/>
        <w:jc w:val="both"/>
        <w:textAlignment w:val="auto"/>
        <w:rPr>
          <w:rStyle w:val="10"/>
          <w:rFonts w:hint="eastAsia" w:ascii="仿宋_GB2312" w:hAnsi="仿宋_GB2312" w:eastAsia="仿宋_GB2312" w:cs="仿宋_GB2312"/>
          <w:b/>
          <w:bCs/>
          <w:spacing w:val="8"/>
          <w:kern w:val="2"/>
          <w:sz w:val="32"/>
          <w:szCs w:val="32"/>
          <w:highlight w:val="none"/>
          <w:shd w:val="clear" w:color="auto" w:fill="FFFFFF"/>
          <w:lang w:val="en-US" w:eastAsia="zh-CN" w:bidi="ar-SA"/>
        </w:rPr>
      </w:pPr>
      <w:r>
        <w:rPr>
          <w:rStyle w:val="10"/>
          <w:rFonts w:hint="eastAsia" w:ascii="仿宋_GB2312" w:hAnsi="仿宋_GB2312" w:eastAsia="仿宋_GB2312" w:cs="仿宋_GB2312"/>
          <w:b/>
          <w:bCs/>
          <w:spacing w:val="8"/>
          <w:kern w:val="2"/>
          <w:sz w:val="32"/>
          <w:szCs w:val="32"/>
          <w:highlight w:val="none"/>
          <w:shd w:val="clear" w:color="auto" w:fill="FFFFFF"/>
          <w:lang w:val="en-US" w:eastAsia="zh-CN" w:bidi="ar-SA"/>
        </w:rPr>
        <w:t>（一）主题：欧洲知识产权保护与合规管理</w:t>
      </w:r>
    </w:p>
    <w:p w14:paraId="0AD24E7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72" w:firstLineChars="200"/>
        <w:jc w:val="both"/>
        <w:textAlignment w:val="auto"/>
        <w:rPr>
          <w:rStyle w:val="10"/>
          <w:rFonts w:hint="eastAsia" w:ascii="仿宋_GB2312" w:hAnsi="仿宋_GB2312" w:eastAsia="仿宋_GB2312" w:cs="仿宋_GB2312"/>
          <w:b w:val="0"/>
          <w:bCs w:val="0"/>
          <w:spacing w:val="8"/>
          <w:kern w:val="2"/>
          <w:sz w:val="32"/>
          <w:szCs w:val="32"/>
          <w:highlight w:val="none"/>
          <w:shd w:val="clear" w:color="auto" w:fill="FFFFFF"/>
          <w:lang w:val="en-US" w:eastAsia="zh-CN" w:bidi="ar-SA"/>
        </w:rPr>
      </w:pPr>
      <w:r>
        <w:rPr>
          <w:rStyle w:val="10"/>
          <w:rFonts w:hint="eastAsia" w:ascii="仿宋_GB2312" w:hAnsi="仿宋_GB2312" w:eastAsia="仿宋_GB2312" w:cs="仿宋_GB2312"/>
          <w:b w:val="0"/>
          <w:bCs w:val="0"/>
          <w:spacing w:val="8"/>
          <w:kern w:val="2"/>
          <w:sz w:val="32"/>
          <w:szCs w:val="32"/>
          <w:highlight w:val="none"/>
          <w:shd w:val="clear" w:color="auto" w:fill="FFFFFF"/>
          <w:lang w:val="en-US" w:eastAsia="zh-CN" w:bidi="ar-SA"/>
        </w:rPr>
        <w:t>主讲人：彭跃飞</w:t>
      </w:r>
    </w:p>
    <w:p w14:paraId="71F6DA0F">
      <w:pPr>
        <w:spacing w:line="360" w:lineRule="auto"/>
        <w:ind w:firstLine="640" w:firstLineChars="200"/>
        <w:rPr>
          <w:rStyle w:val="10"/>
          <w:rFonts w:hint="default" w:ascii="仿宋_GB2312" w:hAnsi="仿宋_GB2312" w:eastAsia="宋体" w:cs="仿宋_GB2312"/>
          <w:b w:val="0"/>
          <w:bCs w:val="0"/>
          <w:spacing w:val="8"/>
          <w:kern w:val="2"/>
          <w:sz w:val="32"/>
          <w:szCs w:val="32"/>
          <w:highlight w:val="none"/>
          <w:shd w:val="clear" w:color="auto" w:fill="FFFFFF"/>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彭跃飞，清华大学2005级法律硕士。现任荣耀终端有限公司高级副总裁、首席法务官、首席合规官。此前在华为工作多年，曾任华为西非地区部法务部部长、华为中东地区部法务部部长、华为终端有限公司法务部总裁等职务。</w:t>
      </w:r>
    </w:p>
    <w:p w14:paraId="6583D18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72" w:firstLineChars="200"/>
        <w:jc w:val="both"/>
        <w:textAlignment w:val="auto"/>
        <w:rPr>
          <w:rStyle w:val="10"/>
          <w:rFonts w:hint="eastAsia" w:ascii="仿宋_GB2312" w:hAnsi="仿宋_GB2312" w:eastAsia="仿宋_GB2312" w:cs="仿宋_GB2312"/>
          <w:b/>
          <w:bCs/>
          <w:spacing w:val="8"/>
          <w:kern w:val="2"/>
          <w:sz w:val="32"/>
          <w:szCs w:val="32"/>
          <w:highlight w:val="none"/>
          <w:shd w:val="clear" w:color="auto" w:fill="FFFFFF"/>
          <w:lang w:val="en-US" w:eastAsia="zh-CN" w:bidi="ar-SA"/>
        </w:rPr>
      </w:pPr>
      <w:r>
        <w:rPr>
          <w:rStyle w:val="10"/>
          <w:rFonts w:hint="eastAsia" w:ascii="仿宋_GB2312" w:hAnsi="仿宋_GB2312" w:eastAsia="仿宋_GB2312" w:cs="仿宋_GB2312"/>
          <w:b/>
          <w:bCs/>
          <w:spacing w:val="8"/>
          <w:kern w:val="2"/>
          <w:sz w:val="32"/>
          <w:szCs w:val="32"/>
          <w:highlight w:val="none"/>
          <w:shd w:val="clear" w:color="auto" w:fill="FFFFFF"/>
          <w:lang w:val="en-US" w:eastAsia="zh-CN" w:bidi="ar-SA"/>
        </w:rPr>
        <w:t>（二）主题：欧洲统一专利法院与我国企业应对策略</w:t>
      </w:r>
    </w:p>
    <w:p w14:paraId="5955DE1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72" w:firstLineChars="200"/>
        <w:jc w:val="both"/>
        <w:textAlignment w:val="auto"/>
        <w:rPr>
          <w:rStyle w:val="10"/>
          <w:rFonts w:hint="eastAsia" w:ascii="仿宋_GB2312" w:hAnsi="仿宋_GB2312" w:eastAsia="仿宋_GB2312" w:cs="仿宋_GB2312"/>
          <w:b w:val="0"/>
          <w:bCs w:val="0"/>
          <w:spacing w:val="8"/>
          <w:kern w:val="2"/>
          <w:sz w:val="32"/>
          <w:szCs w:val="32"/>
          <w:highlight w:val="none"/>
          <w:shd w:val="clear" w:color="auto" w:fill="FFFFFF"/>
          <w:lang w:val="en-US" w:eastAsia="zh-CN" w:bidi="ar-SA"/>
        </w:rPr>
      </w:pPr>
      <w:r>
        <w:rPr>
          <w:rStyle w:val="10"/>
          <w:rFonts w:hint="eastAsia" w:ascii="仿宋_GB2312" w:hAnsi="仿宋_GB2312" w:eastAsia="仿宋_GB2312" w:cs="仿宋_GB2312"/>
          <w:b w:val="0"/>
          <w:bCs w:val="0"/>
          <w:spacing w:val="8"/>
          <w:kern w:val="2"/>
          <w:sz w:val="32"/>
          <w:szCs w:val="32"/>
          <w:highlight w:val="none"/>
          <w:shd w:val="clear" w:color="auto" w:fill="FFFFFF"/>
          <w:lang w:val="en-US" w:eastAsia="zh-CN" w:bidi="ar-SA"/>
        </w:rPr>
        <w:t>主讲人：张婉泽</w:t>
      </w:r>
    </w:p>
    <w:p w14:paraId="42C75D30">
      <w:pPr>
        <w:spacing w:line="360" w:lineRule="auto"/>
        <w:ind w:firstLine="640" w:firstLineChars="200"/>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张婉泽律师，德国Michalski Hüttermann &amp; Partner（MHP）律师事务所合伙人，中国业务总监。2002 - 2010 年，张婉泽律师通过第一次和第二次德国国家司法考试，先后获得科隆大学法学硕士与杜塞尔多夫大学知识产权法学硕士学位，并取得德国律师执业资格。张婉泽律师从事知识产权领域工作十余年以来，致力于发展中德知识产权合作，为中国企业进入欧洲市场提供长期法律咨询，协助其完成上市前期的自由实施检索以及及尽调工作，并代理参与了多起相关专利诉讼，及专利异议与无效程序，助力保护中国企业在欧洲的知识产权权益。与此同时，张婉泽律师多次代理中国企业在赴德参展前期及期间的知识产权法律纠纷。此外，在代理商标和外观设计事务、异议以及无效程序，商标和外观设计侵权以及版权法，不正当竞争法及域名法等相关领域，张婉泽律师亦有丰富的工作经验。</w:t>
      </w:r>
    </w:p>
    <w:p w14:paraId="11548F1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72" w:firstLineChars="200"/>
        <w:jc w:val="both"/>
        <w:textAlignment w:val="auto"/>
        <w:rPr>
          <w:rStyle w:val="10"/>
          <w:rFonts w:hint="eastAsia" w:ascii="仿宋_GB2312" w:hAnsi="仿宋_GB2312" w:eastAsia="仿宋_GB2312" w:cs="仿宋_GB2312"/>
          <w:b/>
          <w:bCs/>
          <w:spacing w:val="8"/>
          <w:kern w:val="2"/>
          <w:sz w:val="32"/>
          <w:szCs w:val="32"/>
          <w:highlight w:val="none"/>
          <w:shd w:val="clear" w:color="auto" w:fill="FFFFFF"/>
          <w:lang w:val="en-US" w:eastAsia="zh-CN" w:bidi="ar-SA"/>
        </w:rPr>
      </w:pPr>
      <w:r>
        <w:rPr>
          <w:rStyle w:val="10"/>
          <w:rFonts w:hint="eastAsia" w:ascii="仿宋_GB2312" w:hAnsi="仿宋_GB2312" w:eastAsia="仿宋_GB2312" w:cs="仿宋_GB2312"/>
          <w:b/>
          <w:bCs/>
          <w:spacing w:val="8"/>
          <w:kern w:val="2"/>
          <w:sz w:val="32"/>
          <w:szCs w:val="32"/>
          <w:highlight w:val="none"/>
          <w:shd w:val="clear" w:color="auto" w:fill="FFFFFF"/>
          <w:lang w:val="en-US" w:eastAsia="zh-CN" w:bidi="ar-SA"/>
        </w:rPr>
        <w:t>（三）主题：德国展会知识产权风险应对</w:t>
      </w:r>
    </w:p>
    <w:p w14:paraId="6029DFA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72" w:firstLineChars="200"/>
        <w:jc w:val="both"/>
        <w:textAlignment w:val="auto"/>
        <w:rPr>
          <w:rStyle w:val="10"/>
          <w:rFonts w:hint="eastAsia" w:ascii="仿宋_GB2312" w:hAnsi="仿宋_GB2312" w:eastAsia="仿宋_GB2312" w:cs="仿宋_GB2312"/>
          <w:b w:val="0"/>
          <w:bCs w:val="0"/>
          <w:spacing w:val="8"/>
          <w:kern w:val="2"/>
          <w:sz w:val="32"/>
          <w:szCs w:val="32"/>
          <w:highlight w:val="none"/>
          <w:shd w:val="clear" w:color="auto" w:fill="FFFFFF"/>
          <w:lang w:val="en-US" w:eastAsia="zh-CN" w:bidi="ar-SA"/>
        </w:rPr>
      </w:pPr>
      <w:r>
        <w:rPr>
          <w:rStyle w:val="10"/>
          <w:rFonts w:hint="eastAsia" w:ascii="仿宋_GB2312" w:hAnsi="仿宋_GB2312" w:eastAsia="仿宋_GB2312" w:cs="仿宋_GB2312"/>
          <w:b w:val="0"/>
          <w:bCs w:val="0"/>
          <w:spacing w:val="8"/>
          <w:kern w:val="2"/>
          <w:sz w:val="32"/>
          <w:szCs w:val="32"/>
          <w:highlight w:val="none"/>
          <w:shd w:val="clear" w:color="auto" w:fill="FFFFFF"/>
          <w:lang w:val="en-US" w:eastAsia="zh-CN" w:bidi="ar-SA"/>
        </w:rPr>
        <w:t>主讲人：苗添豪</w:t>
      </w:r>
    </w:p>
    <w:p w14:paraId="5700ED7E">
      <w:pPr>
        <w:spacing w:line="360" w:lineRule="auto"/>
        <w:ind w:firstLine="640" w:firstLineChars="200"/>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苗添豪</w:t>
      </w:r>
      <w:r>
        <w:rPr>
          <w:rFonts w:hint="eastAsia" w:ascii="仿宋_GB2312" w:hAnsi="仿宋_GB2312" w:eastAsia="仿宋_GB2312" w:cs="仿宋_GB2312"/>
          <w:b w:val="0"/>
          <w:bCs w:val="0"/>
          <w:color w:val="auto"/>
          <w:kern w:val="2"/>
          <w:sz w:val="32"/>
          <w:szCs w:val="32"/>
          <w:highlight w:val="none"/>
          <w:lang w:val="en-US" w:eastAsia="zh-CN" w:bidi="ar-SA"/>
        </w:rPr>
        <w:t>，德国Winter Brandl律所</w:t>
      </w:r>
      <w:r>
        <w:rPr>
          <w:rFonts w:hint="default" w:ascii="仿宋_GB2312" w:hAnsi="仿宋_GB2312" w:eastAsia="仿宋_GB2312" w:cs="仿宋_GB2312"/>
          <w:b w:val="0"/>
          <w:bCs w:val="0"/>
          <w:color w:val="auto"/>
          <w:kern w:val="2"/>
          <w:sz w:val="32"/>
          <w:szCs w:val="32"/>
          <w:highlight w:val="none"/>
          <w:lang w:val="en-US" w:eastAsia="zh-CN" w:bidi="ar-SA"/>
        </w:rPr>
        <w:t>股权合伙人、中国事务总负责人、德国专利律师、欧洲专利律师、统一专利法院代理人、中国专利代理师。毕业于德国慕尼黑工业大学,机械制造、汽车工程及产品研发专业长期协助中国企业上市完成尽职调查欧洲部分 FTO 风险评估,为来自各国家(包括德国、中国、美国、日本等)企业提供 FTO 检索分析服务。在德国、欧洲专利商标申请、德国无效侵权诉讼及欧洲发明异议程序、侵权无效专家意见、临时禁令、备案德国保护函等方面具有丰富经验。</w:t>
      </w:r>
    </w:p>
    <w:p w14:paraId="2405E349">
      <w:pPr>
        <w:pStyle w:val="2"/>
        <w:numPr>
          <w:ilvl w:val="0"/>
          <w:numId w:val="0"/>
        </w:numPr>
        <w:ind w:firstLine="672" w:firstLineChars="200"/>
        <w:jc w:val="both"/>
        <w:rPr>
          <w:rStyle w:val="10"/>
          <w:rFonts w:hint="eastAsia" w:ascii="仿宋_GB2312" w:hAnsi="仿宋_GB2312" w:eastAsia="仿宋_GB2312" w:cs="仿宋_GB2312"/>
          <w:b/>
          <w:bCs/>
          <w:spacing w:val="8"/>
          <w:kern w:val="2"/>
          <w:sz w:val="32"/>
          <w:szCs w:val="32"/>
          <w:highlight w:val="none"/>
          <w:shd w:val="clear" w:color="auto" w:fill="FFFFFF"/>
          <w:lang w:val="zh-CN" w:eastAsia="zh-CN" w:bidi="ar-SA"/>
        </w:rPr>
      </w:pPr>
      <w:r>
        <w:rPr>
          <w:rStyle w:val="10"/>
          <w:rFonts w:hint="eastAsia" w:ascii="仿宋_GB2312" w:hAnsi="仿宋_GB2312" w:eastAsia="仿宋_GB2312" w:cs="仿宋_GB2312"/>
          <w:b/>
          <w:bCs/>
          <w:spacing w:val="8"/>
          <w:kern w:val="2"/>
          <w:sz w:val="32"/>
          <w:szCs w:val="32"/>
          <w:highlight w:val="none"/>
          <w:shd w:val="clear" w:color="auto" w:fill="FFFFFF"/>
          <w:lang w:val="en-US" w:eastAsia="zh-CN" w:bidi="ar-SA"/>
        </w:rPr>
        <w:t>（四）主题：</w:t>
      </w:r>
      <w:r>
        <w:rPr>
          <w:rStyle w:val="10"/>
          <w:rFonts w:hint="eastAsia" w:ascii="仿宋_GB2312" w:hAnsi="仿宋_GB2312" w:eastAsia="仿宋_GB2312" w:cs="仿宋_GB2312"/>
          <w:b/>
          <w:bCs/>
          <w:spacing w:val="8"/>
          <w:kern w:val="2"/>
          <w:sz w:val="32"/>
          <w:szCs w:val="32"/>
          <w:highlight w:val="none"/>
          <w:shd w:val="clear" w:color="auto" w:fill="FFFFFF"/>
          <w:lang w:val="zh-CN" w:eastAsia="zh-CN" w:bidi="ar-SA"/>
        </w:rPr>
        <w:t>深圳海外知识产权保护（德国）工作站介绍</w:t>
      </w:r>
    </w:p>
    <w:p w14:paraId="6E1391D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72" w:firstLineChars="200"/>
        <w:jc w:val="both"/>
        <w:textAlignment w:val="auto"/>
        <w:rPr>
          <w:rStyle w:val="10"/>
          <w:rFonts w:hint="eastAsia" w:ascii="仿宋_GB2312" w:hAnsi="仿宋_GB2312" w:eastAsia="仿宋_GB2312" w:cs="仿宋_GB2312"/>
          <w:b w:val="0"/>
          <w:bCs w:val="0"/>
          <w:spacing w:val="8"/>
          <w:kern w:val="2"/>
          <w:sz w:val="32"/>
          <w:szCs w:val="32"/>
          <w:highlight w:val="none"/>
          <w:shd w:val="clear" w:color="auto" w:fill="FFFFFF"/>
          <w:lang w:val="en-US" w:eastAsia="zh-CN" w:bidi="ar-SA"/>
        </w:rPr>
      </w:pPr>
      <w:r>
        <w:rPr>
          <w:rStyle w:val="10"/>
          <w:rFonts w:hint="eastAsia" w:ascii="仿宋_GB2312" w:hAnsi="仿宋_GB2312" w:eastAsia="仿宋_GB2312" w:cs="仿宋_GB2312"/>
          <w:b w:val="0"/>
          <w:bCs w:val="0"/>
          <w:spacing w:val="8"/>
          <w:kern w:val="2"/>
          <w:sz w:val="32"/>
          <w:szCs w:val="32"/>
          <w:highlight w:val="none"/>
          <w:shd w:val="clear" w:color="auto" w:fill="FFFFFF"/>
          <w:lang w:val="en-US" w:eastAsia="zh-CN" w:bidi="ar-SA"/>
        </w:rPr>
        <w:t>主讲人：吴海龙</w:t>
      </w:r>
    </w:p>
    <w:p w14:paraId="2909419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小标宋简体" w:hAnsi="方正小标宋简体" w:eastAsia="方正小标宋简体" w:cs="方正小标宋简体"/>
          <w:b w:val="0"/>
          <w:bCs w:val="0"/>
          <w:sz w:val="44"/>
          <w:szCs w:val="44"/>
          <w:lang w:eastAsia="zh-CN"/>
        </w:rPr>
      </w:pPr>
      <w:r>
        <w:rPr>
          <w:rFonts w:hint="eastAsia" w:ascii="仿宋_GB2312" w:hAnsi="仿宋_GB2312" w:eastAsia="仿宋_GB2312" w:cs="仿宋_GB2312"/>
          <w:b w:val="0"/>
          <w:bCs w:val="0"/>
          <w:color w:val="auto"/>
          <w:kern w:val="2"/>
          <w:sz w:val="32"/>
          <w:szCs w:val="32"/>
          <w:highlight w:val="none"/>
          <w:lang w:val="en-US" w:eastAsia="zh-CN" w:bidi="ar-SA"/>
        </w:rPr>
        <w:t>吴海龙，毕业于德国特立尔大学法学院，曾任德国特立尔大学中德法律项目研究员，2009年起应邀执教于德国特立尔大学法学院国际法研究中心，并任德国欧维国际咨询管理公司CEO，欧莱贝格(上海)咨询管理有限公司，德国GVG商业咨询公司高级顾问，德国科迈专利律师事务所。主要工作领域为民法、知识产权尤其是工业产权保护方面以及企业并购和商务咨询等领域有丰富的经验。多年以来应政府、企业及学术机构访欧代表团邀请担任顾问陪同专家。应国家海外知识产权纠纷应对指导中心邀请参与撰写《德国专利诉讼应对指引手册》。</w:t>
      </w:r>
    </w:p>
    <w:sectPr>
      <w:footerReference r:id="rId3" w:type="default"/>
      <w:pgSz w:w="11906" w:h="16838"/>
      <w:pgMar w:top="1588" w:right="1474" w:bottom="1588" w:left="1474" w:header="851" w:footer="992" w:gutter="0"/>
      <w:cols w:space="720" w:num="1"/>
      <w:titlePg/>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22AC6D-07E0-4F3C-8FDD-681A817C652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embedRegular r:id="rId2" w:fontKey="{1CBA02DA-32D7-4B92-83DA-DFF91F2AEB27}"/>
  </w:font>
  <w:font w:name="方正小标宋简体">
    <w:panose1 w:val="02000000000000000000"/>
    <w:charset w:val="86"/>
    <w:family w:val="auto"/>
    <w:pitch w:val="default"/>
    <w:sig w:usb0="00000001" w:usb1="08000000" w:usb2="00000000" w:usb3="00000000" w:csb0="00040000" w:csb1="00000000"/>
    <w:embedRegular r:id="rId3" w:fontKey="{068BF333-285B-4639-A295-2C06E5B7FED2}"/>
  </w:font>
  <w:font w:name="仿宋_GB2312">
    <w:panose1 w:val="02010609030101010101"/>
    <w:charset w:val="86"/>
    <w:family w:val="modern"/>
    <w:pitch w:val="default"/>
    <w:sig w:usb0="00000001" w:usb1="080E0000" w:usb2="00000000" w:usb3="00000000" w:csb0="00040000" w:csb1="00000000"/>
    <w:embedRegular r:id="rId4" w:fontKey="{734DEBDC-B7F9-49DB-B2B8-BD307DC50F1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49FF9">
    <w:pPr>
      <w:pStyle w:val="4"/>
      <w:framePr w:wrap="around" w:vAnchor="text" w:hAnchor="margin" w:xAlign="outside" w:y="1"/>
      <w:rPr>
        <w:rStyle w:val="11"/>
        <w:rFonts w:hint="eastAsia" w:ascii="仿宋_GB2312" w:eastAsia="仿宋_GB2312"/>
        <w:sz w:val="28"/>
        <w:szCs w:val="28"/>
      </w:rPr>
    </w:pPr>
    <w:r>
      <w:rPr>
        <w:rFonts w:ascii="仿宋_GB2312" w:eastAsia="仿宋_GB2312"/>
        <w:sz w:val="28"/>
        <w:szCs w:val="28"/>
      </w:rPr>
      <w:t xml:space="preserve">- </w:t>
    </w:r>
    <w:r>
      <w:rPr>
        <w:rFonts w:ascii="仿宋_GB2312" w:eastAsia="仿宋_GB2312"/>
        <w:sz w:val="28"/>
        <w:szCs w:val="28"/>
      </w:rPr>
      <w:fldChar w:fldCharType="begin"/>
    </w:r>
    <w:r>
      <w:rPr>
        <w:rFonts w:ascii="仿宋_GB2312" w:eastAsia="仿宋_GB2312"/>
        <w:sz w:val="28"/>
        <w:szCs w:val="28"/>
      </w:rPr>
      <w:instrText xml:space="preserve"> PAGE </w:instrText>
    </w:r>
    <w:r>
      <w:rPr>
        <w:rFonts w:ascii="仿宋_GB2312" w:eastAsia="仿宋_GB2312"/>
        <w:sz w:val="28"/>
        <w:szCs w:val="28"/>
      </w:rPr>
      <w:fldChar w:fldCharType="separate"/>
    </w:r>
    <w:r>
      <w:rPr>
        <w:rFonts w:ascii="仿宋_GB2312" w:eastAsia="仿宋_GB2312"/>
        <w:sz w:val="28"/>
        <w:szCs w:val="28"/>
      </w:rPr>
      <w:t>2</w:t>
    </w:r>
    <w:r>
      <w:rPr>
        <w:rFonts w:ascii="仿宋_GB2312" w:eastAsia="仿宋_GB2312"/>
        <w:sz w:val="28"/>
        <w:szCs w:val="28"/>
      </w:rPr>
      <w:fldChar w:fldCharType="end"/>
    </w:r>
    <w:r>
      <w:rPr>
        <w:rFonts w:ascii="仿宋_GB2312" w:eastAsia="仿宋_GB2312"/>
        <w:sz w:val="28"/>
        <w:szCs w:val="28"/>
      </w:rPr>
      <w:t xml:space="preserve"> -</w:t>
    </w:r>
  </w:p>
  <w:p w14:paraId="7C150041">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jNzM2ZGUxYWI3YmE0YTk3YjUwMzY4NTBiNDJlZDAifQ=="/>
  </w:docVars>
  <w:rsids>
    <w:rsidRoot w:val="00000000"/>
    <w:rsid w:val="00937D39"/>
    <w:rsid w:val="03727006"/>
    <w:rsid w:val="04496D1B"/>
    <w:rsid w:val="05797DBE"/>
    <w:rsid w:val="0DFE1502"/>
    <w:rsid w:val="1EFD7DC0"/>
    <w:rsid w:val="1FF758B2"/>
    <w:rsid w:val="43FF46A1"/>
    <w:rsid w:val="4DED68EA"/>
    <w:rsid w:val="51B648E7"/>
    <w:rsid w:val="58B74252"/>
    <w:rsid w:val="58E537BA"/>
    <w:rsid w:val="5BEC68A7"/>
    <w:rsid w:val="5FEC7022"/>
    <w:rsid w:val="67FF5C00"/>
    <w:rsid w:val="6CF7F94C"/>
    <w:rsid w:val="6D0BE4FF"/>
    <w:rsid w:val="6D2D4286"/>
    <w:rsid w:val="6F8846F0"/>
    <w:rsid w:val="72C50F36"/>
    <w:rsid w:val="75B76A28"/>
    <w:rsid w:val="7B7B3556"/>
    <w:rsid w:val="7DD659CD"/>
    <w:rsid w:val="7EFD2F29"/>
    <w:rsid w:val="7F7F526C"/>
    <w:rsid w:val="7F87CD94"/>
    <w:rsid w:val="7F8FA0D4"/>
    <w:rsid w:val="7FFE950F"/>
    <w:rsid w:val="97FC7B2C"/>
    <w:rsid w:val="A7FE0BD1"/>
    <w:rsid w:val="B74A226A"/>
    <w:rsid w:val="BFC9F4F6"/>
    <w:rsid w:val="BFD7D0A7"/>
    <w:rsid w:val="D3F6BD0B"/>
    <w:rsid w:val="D4CCF26A"/>
    <w:rsid w:val="D77F35CC"/>
    <w:rsid w:val="DFF5B3F5"/>
    <w:rsid w:val="E7DA0208"/>
    <w:rsid w:val="EDBF055B"/>
    <w:rsid w:val="EFE6819E"/>
    <w:rsid w:val="F34E0E97"/>
    <w:rsid w:val="F7F6DD8F"/>
    <w:rsid w:val="F8E6685F"/>
    <w:rsid w:val="FAE7DB1B"/>
    <w:rsid w:val="FB575081"/>
    <w:rsid w:val="FB7F8550"/>
    <w:rsid w:val="FBEF86E1"/>
    <w:rsid w:val="FCBE51B9"/>
    <w:rsid w:val="FF7A5A6D"/>
    <w:rsid w:val="FFED2993"/>
    <w:rsid w:val="FFF59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jc w:val="center"/>
      <w:outlineLvl w:val="1"/>
    </w:pPr>
    <w:rPr>
      <w:rFonts w:ascii="等线 Light" w:hAnsi="等线 Light" w:eastAsia="楷体_GB2312" w:cs="Times New Roman"/>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toc 2"/>
    <w:basedOn w:val="1"/>
    <w:next w:val="1"/>
    <w:unhideWhenUsed/>
    <w:qFormat/>
    <w:uiPriority w:val="39"/>
    <w:pPr>
      <w:ind w:left="420" w:leftChars="200"/>
    </w:pPr>
    <w:rPr>
      <w:rFonts w:cs="Calibri"/>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page number"/>
    <w:basedOn w:val="9"/>
    <w:qFormat/>
    <w:uiPriority w:val="0"/>
  </w:style>
  <w:style w:type="paragraph" w:customStyle="1" w:styleId="12">
    <w:name w:val="Body Text First Indent 2"/>
    <w:basedOn w:val="13"/>
    <w:qFormat/>
    <w:uiPriority w:val="0"/>
    <w:pPr>
      <w:ind w:firstLine="420" w:firstLineChars="200"/>
    </w:pPr>
    <w:rPr>
      <w:rFonts w:ascii="Times New Roman" w:hAnsi="Times New Roman"/>
      <w:sz w:val="30"/>
    </w:rPr>
  </w:style>
  <w:style w:type="paragraph" w:customStyle="1" w:styleId="13">
    <w:name w:val="Body Text Indent"/>
    <w:basedOn w:val="1"/>
    <w:qFormat/>
    <w:uiPriority w:val="0"/>
    <w:pPr>
      <w:spacing w:after="120" w:afterLines="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1754</Words>
  <Characters>1916</Characters>
  <Lines>0</Lines>
  <Paragraphs>0</Paragraphs>
  <TotalTime>31</TotalTime>
  <ScaleCrop>false</ScaleCrop>
  <LinksUpToDate>false</LinksUpToDate>
  <CharactersWithSpaces>1940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2024-06-16T00:09:00Z</dcterms:created>
  <dc:creator>linjing2</dc:creator>
  <cp:lastModifiedBy>Angelica Wen</cp:lastModifiedBy>
  <cp:lastPrinted>2024-06-21T00:27:00Z</cp:lastPrinted>
  <dcterms:modified xsi:type="dcterms:W3CDTF">2024-09-29T08:03:47Z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0BE99052F25F439AAF96F9F67AE25C29_13</vt:lpwstr>
  </property>
</Properties>
</file>